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9808F" w14:textId="2A927001" w:rsidR="00F572B0" w:rsidRDefault="00FA630C">
      <w:r>
        <w:rPr>
          <w:noProof/>
        </w:rPr>
        <w:drawing>
          <wp:inline distT="0" distB="0" distL="0" distR="0" wp14:anchorId="7CBB4101" wp14:editId="640B8FA4">
            <wp:extent cx="5943600" cy="4930987"/>
            <wp:effectExtent l="0" t="0" r="0" b="3175"/>
            <wp:docPr id="5" name="Picture 5"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EDF9FA4" w14:textId="73FC4924" w:rsidR="00FA630C" w:rsidRDefault="00FA630C"/>
    <w:p w14:paraId="622F6ACE" w14:textId="77777777" w:rsidR="00FA630C" w:rsidRPr="00FA630C" w:rsidRDefault="00FA630C" w:rsidP="00FA630C">
      <w:pPr>
        <w:spacing w:after="0" w:line="240" w:lineRule="auto"/>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Bottom Line </w:t>
      </w:r>
    </w:p>
    <w:p w14:paraId="50213C53" w14:textId="77777777" w:rsidR="00FA630C" w:rsidRPr="00FA630C" w:rsidRDefault="00FA630C" w:rsidP="00FA630C">
      <w:pPr>
        <w:spacing w:before="100" w:beforeAutospacing="1" w:after="100" w:afterAutospacing="1" w:line="240" w:lineRule="auto"/>
        <w:ind w:left="720"/>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21/8:</w:t>
      </w:r>
      <w:r w:rsidRPr="00FA630C">
        <w:rPr>
          <w:rFonts w:ascii="Times New Roman" w:eastAsia="Times New Roman" w:hAnsi="Times New Roman" w:cs="Times New Roman"/>
          <w:sz w:val="24"/>
          <w:szCs w:val="24"/>
          <w:lang w:val="en-US"/>
        </w:rPr>
        <w:br/>
        <w:t xml:space="preserve">Daily Trend: </w:t>
      </w:r>
      <w:r w:rsidRPr="00FA630C">
        <w:rPr>
          <w:rFonts w:ascii="Times New Roman" w:eastAsia="Times New Roman" w:hAnsi="Times New Roman" w:cs="Times New Roman"/>
          <w:color w:val="FF0000"/>
          <w:sz w:val="24"/>
          <w:szCs w:val="24"/>
          <w:lang w:val="en-US"/>
        </w:rPr>
        <w:t>Down</w:t>
      </w:r>
      <w:r w:rsidRPr="00FA630C">
        <w:rPr>
          <w:rFonts w:ascii="Times New Roman" w:eastAsia="Times New Roman" w:hAnsi="Times New Roman" w:cs="Times New Roman"/>
          <w:sz w:val="24"/>
          <w:szCs w:val="24"/>
          <w:lang w:val="en-US"/>
        </w:rPr>
        <w:br/>
        <w:t xml:space="preserve">Weekly Trend: </w:t>
      </w:r>
      <w:r w:rsidRPr="00FA630C">
        <w:rPr>
          <w:rFonts w:ascii="Times New Roman" w:eastAsia="Times New Roman" w:hAnsi="Times New Roman" w:cs="Times New Roman"/>
          <w:color w:val="FF0000"/>
          <w:sz w:val="24"/>
          <w:szCs w:val="24"/>
          <w:lang w:val="en-US"/>
        </w:rPr>
        <w:t>Down</w:t>
      </w:r>
      <w:r w:rsidRPr="00FA630C">
        <w:rPr>
          <w:rFonts w:ascii="Times New Roman" w:eastAsia="Times New Roman" w:hAnsi="Times New Roman" w:cs="Times New Roman"/>
          <w:sz w:val="24"/>
          <w:szCs w:val="24"/>
          <w:lang w:val="en-US"/>
        </w:rPr>
        <w:br/>
        <w:t xml:space="preserve">Monthly Trend: </w:t>
      </w:r>
      <w:r w:rsidRPr="00FA630C">
        <w:rPr>
          <w:rFonts w:ascii="Times New Roman" w:eastAsia="Times New Roman" w:hAnsi="Times New Roman" w:cs="Times New Roman"/>
          <w:color w:val="00FF00"/>
          <w:sz w:val="24"/>
          <w:szCs w:val="24"/>
          <w:lang w:val="en-US"/>
        </w:rPr>
        <w:t>Up</w:t>
      </w:r>
      <w:r w:rsidRPr="00FA630C">
        <w:rPr>
          <w:rFonts w:ascii="Times New Roman" w:eastAsia="Times New Roman" w:hAnsi="Times New Roman" w:cs="Times New Roman"/>
          <w:sz w:val="24"/>
          <w:szCs w:val="24"/>
          <w:lang w:val="en-US"/>
        </w:rPr>
        <w:br/>
        <w:t xml:space="preserve">Support levels: $32.16 - $31.90 / $28.13 - $27.73 / $25.54 - $25.30 </w:t>
      </w:r>
      <w:r w:rsidRPr="00FA630C">
        <w:rPr>
          <w:rFonts w:ascii="Times New Roman" w:eastAsia="Times New Roman" w:hAnsi="Times New Roman" w:cs="Times New Roman"/>
          <w:sz w:val="24"/>
          <w:szCs w:val="24"/>
          <w:lang w:val="en-US"/>
        </w:rPr>
        <w:br/>
        <w:t>Resistance levels: $34.63 - $36.59</w:t>
      </w:r>
    </w:p>
    <w:p w14:paraId="26140DAD" w14:textId="77777777" w:rsidR="00FA630C" w:rsidRPr="00FA630C" w:rsidRDefault="00FA630C" w:rsidP="00FA630C">
      <w:pPr>
        <w:spacing w:after="0" w:line="240" w:lineRule="auto"/>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Video Analysis </w:t>
      </w:r>
    </w:p>
    <w:p w14:paraId="6A5D714C" w14:textId="77777777" w:rsidR="00FA630C" w:rsidRPr="00FA630C" w:rsidRDefault="00FA630C" w:rsidP="00FA630C">
      <w:pPr>
        <w:spacing w:after="0" w:line="240" w:lineRule="auto"/>
        <w:ind w:left="720"/>
        <w:rPr>
          <w:rFonts w:ascii="Times New Roman" w:eastAsia="Times New Roman" w:hAnsi="Times New Roman" w:cs="Times New Roman"/>
          <w:sz w:val="24"/>
          <w:szCs w:val="24"/>
          <w:lang w:val="en-US"/>
        </w:rPr>
      </w:pPr>
      <w:hyperlink r:id="rId5" w:tgtFrame="_blank" w:history="1">
        <w:r w:rsidRPr="00FA630C">
          <w:rPr>
            <w:rFonts w:ascii="Times New Roman" w:eastAsia="Times New Roman" w:hAnsi="Times New Roman" w:cs="Times New Roman"/>
            <w:color w:val="0000FF"/>
            <w:sz w:val="24"/>
            <w:szCs w:val="24"/>
            <w:u w:val="single"/>
            <w:lang w:val="en-US"/>
          </w:rPr>
          <w:t xml:space="preserve">Watch Video Analysis Here </w:t>
        </w:r>
      </w:hyperlink>
    </w:p>
    <w:p w14:paraId="1DD06D71" w14:textId="77777777" w:rsidR="00FA630C" w:rsidRPr="00FA630C" w:rsidRDefault="00FA630C" w:rsidP="00FA630C">
      <w:pPr>
        <w:spacing w:after="0" w:line="240" w:lineRule="auto"/>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Technical Discussion </w:t>
      </w:r>
    </w:p>
    <w:p w14:paraId="6003530D" w14:textId="77777777" w:rsidR="00FA630C" w:rsidRPr="00FA630C" w:rsidRDefault="00FA630C" w:rsidP="00FA630C">
      <w:pPr>
        <w:spacing w:before="100" w:beforeAutospacing="1" w:after="100" w:afterAutospacing="1" w:line="240" w:lineRule="auto"/>
        <w:ind w:left="720"/>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FA630C">
        <w:rPr>
          <w:rFonts w:ascii="Times New Roman" w:eastAsia="Times New Roman" w:hAnsi="Times New Roman" w:cs="Times New Roman"/>
          <w:sz w:val="24"/>
          <w:szCs w:val="24"/>
          <w:lang w:val="en-US"/>
        </w:rPr>
        <w:lastRenderedPageBreak/>
        <w:t>Manganese, Metallurgical Coal and Energy Coal. In May 2014, Cassini Resources acquired BHP Billiton Limited's West Musgrave Project. Full-year net profit dropped 37% following write-downs on its oil business. Underlying profit rose 33% to $US8.93 billion against expectations from analysts of around $9.1 billion. However, the company surprised with a fully franked final dividend of 63 US cents a share - up 20 cents on a year ago. Broker/Analyst consensus is currently “Hold”. The dividend yield is 3.4%.</w:t>
      </w:r>
    </w:p>
    <w:p w14:paraId="7A96131A" w14:textId="77777777" w:rsidR="00FA630C" w:rsidRPr="00FA630C" w:rsidRDefault="00FA630C" w:rsidP="00FA630C">
      <w:pPr>
        <w:spacing w:before="100" w:beforeAutospacing="1" w:after="100" w:afterAutospacing="1" w:line="240" w:lineRule="auto"/>
        <w:ind w:left="720"/>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Reasons to be cautiously optimistic:</w:t>
      </w:r>
      <w:r w:rsidRPr="00FA630C">
        <w:rPr>
          <w:rFonts w:ascii="Times New Roman" w:eastAsia="Times New Roman" w:hAnsi="Times New Roman" w:cs="Times New Roman"/>
          <w:sz w:val="24"/>
          <w:szCs w:val="24"/>
          <w:lang w:val="en-US"/>
        </w:rPr>
        <w:br/>
        <w:t>→ The oil business could be enough of a differentiator to command a premium.</w:t>
      </w:r>
      <w:r w:rsidRPr="00FA630C">
        <w:rPr>
          <w:rFonts w:ascii="Times New Roman" w:eastAsia="Times New Roman" w:hAnsi="Times New Roman" w:cs="Times New Roman"/>
          <w:sz w:val="24"/>
          <w:szCs w:val="24"/>
          <w:lang w:val="en-US"/>
        </w:rPr>
        <w:br/>
        <w:t>→ The disposal of the shale business is considered a positive catalyst.</w:t>
      </w:r>
      <w:r w:rsidRPr="00FA630C">
        <w:rPr>
          <w:rFonts w:ascii="Times New Roman" w:eastAsia="Times New Roman" w:hAnsi="Times New Roman" w:cs="Times New Roman"/>
          <w:sz w:val="24"/>
          <w:szCs w:val="24"/>
          <w:lang w:val="en-US"/>
        </w:rPr>
        <w:br/>
        <w:t>→ Strong demand for high-quality iron ore continues.</w:t>
      </w:r>
      <w:r w:rsidRPr="00FA630C">
        <w:rPr>
          <w:rFonts w:ascii="Times New Roman" w:eastAsia="Times New Roman" w:hAnsi="Times New Roman" w:cs="Times New Roman"/>
          <w:sz w:val="24"/>
          <w:szCs w:val="24"/>
          <w:lang w:val="en-US"/>
        </w:rPr>
        <w:br/>
        <w:t>→ The interim dividend represented an impressive 72% payout ratio.</w:t>
      </w:r>
      <w:r w:rsidRPr="00FA630C">
        <w:rPr>
          <w:rFonts w:ascii="Times New Roman" w:eastAsia="Times New Roman" w:hAnsi="Times New Roman" w:cs="Times New Roman"/>
          <w:sz w:val="24"/>
          <w:szCs w:val="24"/>
          <w:lang w:val="en-US"/>
        </w:rPr>
        <w:br/>
        <w:t>→ US$1.9B could be paid in cash on top of the 50% ratio final dividend.</w:t>
      </w:r>
      <w:r w:rsidRPr="00FA630C">
        <w:rPr>
          <w:rFonts w:ascii="Times New Roman" w:eastAsia="Times New Roman" w:hAnsi="Times New Roman" w:cs="Times New Roman"/>
          <w:sz w:val="24"/>
          <w:szCs w:val="24"/>
          <w:lang w:val="en-US"/>
        </w:rPr>
        <w:br/>
        <w:t>→ Capacity could boost production by around 20%.</w:t>
      </w:r>
      <w:r w:rsidRPr="00FA630C">
        <w:rPr>
          <w:rFonts w:ascii="Times New Roman" w:eastAsia="Times New Roman" w:hAnsi="Times New Roman" w:cs="Times New Roman"/>
          <w:sz w:val="24"/>
          <w:szCs w:val="24"/>
          <w:lang w:val="en-US"/>
        </w:rPr>
        <w:br/>
        <w:t>→ Rising commodity prices provides upside risk.</w:t>
      </w:r>
      <w:r w:rsidRPr="00FA630C">
        <w:rPr>
          <w:rFonts w:ascii="Times New Roman" w:eastAsia="Times New Roman" w:hAnsi="Times New Roman" w:cs="Times New Roman"/>
          <w:sz w:val="24"/>
          <w:szCs w:val="24"/>
          <w:lang w:val="en-US"/>
        </w:rPr>
        <w:br/>
        <w:t>→ Reversing from a zone of support.</w:t>
      </w:r>
    </w:p>
    <w:p w14:paraId="6A67D689" w14:textId="77777777" w:rsidR="00FA630C" w:rsidRPr="00FA630C" w:rsidRDefault="00FA630C" w:rsidP="00FA630C">
      <w:pPr>
        <w:spacing w:before="100" w:beforeAutospacing="1" w:after="100" w:afterAutospacing="1" w:line="240" w:lineRule="auto"/>
        <w:ind w:left="720"/>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Price action with BHP does tend to be choppy and messy in nature which doesn’t bode well for making a high probability wave count. The continued sideways move has also been enough for us to remove our labelling and concentrate on more conventional pattern analysis. The headline pattern is still the consolidation phase that commenced back in mid-May of this year. The big positive is that the trend up to that point in time was extremely strong which means the risk remains to be upside over the medium to longer-term. For the moment though price is quite happy to chop sideways with a bias to the downside which could result in the line of support as annotated just beneath $32.00 being tagged over next few weeks. Although it’s only a minor line of support, a break beneath would open the door for a deeper retracement. Indeed, the next area of support sits around $28.00 which would be a high probability target zone if the current consolidation pattern breaks to the downside. It would now take a push above the prior pivot high at $35.29 to get the bullish case back on track although what the trigger for such a move is going to be remains to be seen. Today the company issued results which came in just beneath consensus although the dividend offset some of the negativity following the mild disappointment in earnings. For </w:t>
      </w:r>
      <w:proofErr w:type="gramStart"/>
      <w:r w:rsidRPr="00FA630C">
        <w:rPr>
          <w:rFonts w:ascii="Times New Roman" w:eastAsia="Times New Roman" w:hAnsi="Times New Roman" w:cs="Times New Roman"/>
          <w:sz w:val="24"/>
          <w:szCs w:val="24"/>
          <w:lang w:val="en-US"/>
        </w:rPr>
        <w:t>now</w:t>
      </w:r>
      <w:proofErr w:type="gramEnd"/>
      <w:r w:rsidRPr="00FA630C">
        <w:rPr>
          <w:rFonts w:ascii="Times New Roman" w:eastAsia="Times New Roman" w:hAnsi="Times New Roman" w:cs="Times New Roman"/>
          <w:sz w:val="24"/>
          <w:szCs w:val="24"/>
          <w:lang w:val="en-US"/>
        </w:rPr>
        <w:t xml:space="preserve"> we’ll concentrate on both areas of support as a few buyers could be waiting in the wings at those lower levels.</w:t>
      </w:r>
    </w:p>
    <w:p w14:paraId="2C9E3CFB" w14:textId="77777777" w:rsidR="00FA630C" w:rsidRPr="00FA630C" w:rsidRDefault="00FA630C" w:rsidP="00FA630C">
      <w:pPr>
        <w:spacing w:after="0" w:line="240" w:lineRule="auto"/>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Trading Strategy </w:t>
      </w:r>
    </w:p>
    <w:p w14:paraId="4D9642A6" w14:textId="77777777" w:rsidR="00FA630C" w:rsidRPr="00FA630C" w:rsidRDefault="00FA630C" w:rsidP="00FA630C">
      <w:pPr>
        <w:spacing w:before="100" w:beforeAutospacing="1" w:after="100" w:afterAutospacing="1" w:line="240" w:lineRule="auto"/>
        <w:ind w:left="720"/>
        <w:rPr>
          <w:rFonts w:ascii="Times New Roman" w:eastAsia="Times New Roman" w:hAnsi="Times New Roman" w:cs="Times New Roman"/>
          <w:sz w:val="24"/>
          <w:szCs w:val="24"/>
          <w:lang w:val="en-US"/>
        </w:rPr>
      </w:pPr>
      <w:r w:rsidRPr="00FA630C">
        <w:rPr>
          <w:rFonts w:ascii="Times New Roman" w:eastAsia="Times New Roman" w:hAnsi="Times New Roman" w:cs="Times New Roman"/>
          <w:sz w:val="24"/>
          <w:szCs w:val="24"/>
          <w:lang w:val="en-US"/>
        </w:rPr>
        <w:t xml:space="preserve">The lack of follow-through to the upside has resulted in us adjusting the protective stop up to $31.89 which will lock in a reasonable profit should price continue to head lower from here. This is a logical area for the protective stop which coincides with the prior pivot low and the line of support. If we are stopped </w:t>
      </w:r>
      <w:proofErr w:type="gramStart"/>
      <w:r w:rsidRPr="00FA630C">
        <w:rPr>
          <w:rFonts w:ascii="Times New Roman" w:eastAsia="Times New Roman" w:hAnsi="Times New Roman" w:cs="Times New Roman"/>
          <w:sz w:val="24"/>
          <w:szCs w:val="24"/>
          <w:lang w:val="en-US"/>
        </w:rPr>
        <w:t>out</w:t>
      </w:r>
      <w:proofErr w:type="gramEnd"/>
      <w:r w:rsidRPr="00FA630C">
        <w:rPr>
          <w:rFonts w:ascii="Times New Roman" w:eastAsia="Times New Roman" w:hAnsi="Times New Roman" w:cs="Times New Roman"/>
          <w:sz w:val="24"/>
          <w:szCs w:val="24"/>
          <w:lang w:val="en-US"/>
        </w:rPr>
        <w:t xml:space="preserve"> we can always top up following signs of strength around the next zone of support circa $28.00. If you aren’t already involved continue to stand aside.</w:t>
      </w:r>
    </w:p>
    <w:p w14:paraId="308EDFDE" w14:textId="77777777" w:rsidR="00FA630C" w:rsidRDefault="00FA630C">
      <w:bookmarkStart w:id="0" w:name="_GoBack"/>
      <w:bookmarkEnd w:id="0"/>
    </w:p>
    <w:sectPr w:rsidR="00FA6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3A319D-C4AD-47E5-A074-F5C0E83076FA}"/>
    <w:docVar w:name="dgnword-eventsink" w:val="794102320"/>
  </w:docVars>
  <w:rsids>
    <w:rsidRoot w:val="00FA630C"/>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A630C"/>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2855"/>
  <w15:chartTrackingRefBased/>
  <w15:docId w15:val="{F4622753-60E0-48AA-8377-8F18463A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2nR0RRi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2018-09-07T04:13:00Z</dcterms:created>
  <dcterms:modified xsi:type="dcterms:W3CDTF">2018-09-07T04:14:00Z</dcterms:modified>
</cp:coreProperties>
</file>