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4DBEB8" w14:textId="6F41A9BB" w:rsidR="00F572B0" w:rsidRDefault="00B263C5">
      <w:r>
        <w:rPr>
          <w:noProof/>
        </w:rPr>
        <w:drawing>
          <wp:inline distT="0" distB="0" distL="0" distR="0" wp14:anchorId="07A4EAA5" wp14:editId="76E94D26">
            <wp:extent cx="5943600" cy="4930987"/>
            <wp:effectExtent l="0" t="0" r="0" b="3175"/>
            <wp:docPr id="2" name="Picture 2" descr="A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Z"/>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14:paraId="45195FBF" w14:textId="797B031E" w:rsidR="00B263C5" w:rsidRDefault="00B263C5"/>
    <w:p w14:paraId="67BED4CA" w14:textId="77777777" w:rsidR="00B263C5" w:rsidRPr="00B263C5" w:rsidRDefault="00B263C5" w:rsidP="00B263C5">
      <w:pPr>
        <w:spacing w:after="0" w:line="240" w:lineRule="auto"/>
        <w:rPr>
          <w:rFonts w:ascii="Times New Roman" w:eastAsia="Times New Roman" w:hAnsi="Times New Roman" w:cs="Times New Roman"/>
          <w:sz w:val="24"/>
          <w:szCs w:val="24"/>
          <w:lang w:val="en-US"/>
        </w:rPr>
      </w:pPr>
      <w:r w:rsidRPr="00B263C5">
        <w:rPr>
          <w:rFonts w:ascii="Times New Roman" w:eastAsia="Times New Roman" w:hAnsi="Times New Roman" w:cs="Times New Roman"/>
          <w:sz w:val="24"/>
          <w:szCs w:val="24"/>
          <w:lang w:val="en-US"/>
        </w:rPr>
        <w:t xml:space="preserve">Bottom Line </w:t>
      </w:r>
    </w:p>
    <w:p w14:paraId="1EF63402" w14:textId="77777777" w:rsidR="00B263C5" w:rsidRPr="00B263C5" w:rsidRDefault="00B263C5" w:rsidP="00B263C5">
      <w:pPr>
        <w:spacing w:before="100" w:beforeAutospacing="1" w:after="100" w:afterAutospacing="1" w:line="240" w:lineRule="auto"/>
        <w:ind w:left="720"/>
        <w:rPr>
          <w:rFonts w:ascii="Times New Roman" w:eastAsia="Times New Roman" w:hAnsi="Times New Roman" w:cs="Times New Roman"/>
          <w:sz w:val="24"/>
          <w:szCs w:val="24"/>
          <w:lang w:val="en-US"/>
        </w:rPr>
      </w:pPr>
      <w:r w:rsidRPr="00B263C5">
        <w:rPr>
          <w:rFonts w:ascii="Times New Roman" w:eastAsia="Times New Roman" w:hAnsi="Times New Roman" w:cs="Times New Roman"/>
          <w:sz w:val="24"/>
          <w:szCs w:val="24"/>
          <w:lang w:val="en-US"/>
        </w:rPr>
        <w:t>14/6:</w:t>
      </w:r>
      <w:r w:rsidRPr="00B263C5">
        <w:rPr>
          <w:rFonts w:ascii="Times New Roman" w:eastAsia="Times New Roman" w:hAnsi="Times New Roman" w:cs="Times New Roman"/>
          <w:sz w:val="24"/>
          <w:szCs w:val="24"/>
          <w:lang w:val="en-US"/>
        </w:rPr>
        <w:br/>
        <w:t xml:space="preserve">Daily Trend: </w:t>
      </w:r>
      <w:r w:rsidRPr="00B263C5">
        <w:rPr>
          <w:rFonts w:ascii="Times New Roman" w:eastAsia="Times New Roman" w:hAnsi="Times New Roman" w:cs="Times New Roman"/>
          <w:color w:val="FF0000"/>
          <w:sz w:val="24"/>
          <w:szCs w:val="24"/>
          <w:lang w:val="en-US"/>
        </w:rPr>
        <w:t>Down</w:t>
      </w:r>
      <w:r w:rsidRPr="00B263C5">
        <w:rPr>
          <w:rFonts w:ascii="Times New Roman" w:eastAsia="Times New Roman" w:hAnsi="Times New Roman" w:cs="Times New Roman"/>
          <w:sz w:val="24"/>
          <w:szCs w:val="24"/>
          <w:lang w:val="en-US"/>
        </w:rPr>
        <w:br/>
        <w:t xml:space="preserve">Weekly Trend: </w:t>
      </w:r>
      <w:r w:rsidRPr="00B263C5">
        <w:rPr>
          <w:rFonts w:ascii="Times New Roman" w:eastAsia="Times New Roman" w:hAnsi="Times New Roman" w:cs="Times New Roman"/>
          <w:color w:val="FF0000"/>
          <w:sz w:val="24"/>
          <w:szCs w:val="24"/>
          <w:lang w:val="en-US"/>
        </w:rPr>
        <w:t>Down</w:t>
      </w:r>
      <w:r w:rsidRPr="00B263C5">
        <w:rPr>
          <w:rFonts w:ascii="Times New Roman" w:eastAsia="Times New Roman" w:hAnsi="Times New Roman" w:cs="Times New Roman"/>
          <w:sz w:val="24"/>
          <w:szCs w:val="24"/>
          <w:lang w:val="en-US"/>
        </w:rPr>
        <w:br/>
        <w:t xml:space="preserve">Monthly Trend: </w:t>
      </w:r>
      <w:r w:rsidRPr="00B263C5">
        <w:rPr>
          <w:rFonts w:ascii="Times New Roman" w:eastAsia="Times New Roman" w:hAnsi="Times New Roman" w:cs="Times New Roman"/>
          <w:color w:val="FF0000"/>
          <w:sz w:val="24"/>
          <w:szCs w:val="24"/>
          <w:lang w:val="en-US"/>
        </w:rPr>
        <w:t>Down</w:t>
      </w:r>
      <w:r w:rsidRPr="00B263C5">
        <w:rPr>
          <w:rFonts w:ascii="Times New Roman" w:eastAsia="Times New Roman" w:hAnsi="Times New Roman" w:cs="Times New Roman"/>
          <w:sz w:val="24"/>
          <w:szCs w:val="24"/>
          <w:lang w:val="en-US"/>
        </w:rPr>
        <w:br/>
        <w:t>Support Levels: $25.03 - $24.54 / $21.54 / $21.86</w:t>
      </w:r>
      <w:r w:rsidRPr="00B263C5">
        <w:rPr>
          <w:rFonts w:ascii="Times New Roman" w:eastAsia="Times New Roman" w:hAnsi="Times New Roman" w:cs="Times New Roman"/>
          <w:sz w:val="24"/>
          <w:szCs w:val="24"/>
          <w:lang w:val="en-US"/>
        </w:rPr>
        <w:br/>
        <w:t>Resistance Levels:  $30.06 - $30.80 / $32.95</w:t>
      </w:r>
    </w:p>
    <w:p w14:paraId="6635F668" w14:textId="77777777" w:rsidR="00B263C5" w:rsidRPr="00B263C5" w:rsidRDefault="00B263C5" w:rsidP="00B263C5">
      <w:pPr>
        <w:spacing w:after="0" w:line="240" w:lineRule="auto"/>
        <w:rPr>
          <w:rFonts w:ascii="Times New Roman" w:eastAsia="Times New Roman" w:hAnsi="Times New Roman" w:cs="Times New Roman"/>
          <w:sz w:val="24"/>
          <w:szCs w:val="24"/>
          <w:lang w:val="en-US"/>
        </w:rPr>
      </w:pPr>
      <w:r w:rsidRPr="00B263C5">
        <w:rPr>
          <w:rFonts w:ascii="Times New Roman" w:eastAsia="Times New Roman" w:hAnsi="Times New Roman" w:cs="Times New Roman"/>
          <w:sz w:val="24"/>
          <w:szCs w:val="24"/>
          <w:lang w:val="en-US"/>
        </w:rPr>
        <w:t xml:space="preserve">Video Analysis </w:t>
      </w:r>
    </w:p>
    <w:p w14:paraId="3F3AF123" w14:textId="77777777" w:rsidR="00B263C5" w:rsidRPr="00B263C5" w:rsidRDefault="00B263C5" w:rsidP="00B263C5">
      <w:pPr>
        <w:spacing w:after="0" w:line="240" w:lineRule="auto"/>
        <w:ind w:left="720"/>
        <w:rPr>
          <w:rFonts w:ascii="Times New Roman" w:eastAsia="Times New Roman" w:hAnsi="Times New Roman" w:cs="Times New Roman"/>
          <w:sz w:val="24"/>
          <w:szCs w:val="24"/>
          <w:lang w:val="en-US"/>
        </w:rPr>
      </w:pPr>
      <w:hyperlink r:id="rId5" w:tgtFrame="_blank" w:history="1">
        <w:r w:rsidRPr="00B263C5">
          <w:rPr>
            <w:rFonts w:ascii="Times New Roman" w:eastAsia="Times New Roman" w:hAnsi="Times New Roman" w:cs="Times New Roman"/>
            <w:color w:val="0000FF"/>
            <w:sz w:val="24"/>
            <w:szCs w:val="24"/>
            <w:u w:val="single"/>
            <w:lang w:val="en-US"/>
          </w:rPr>
          <w:t xml:space="preserve">Watch Video Analysis Here </w:t>
        </w:r>
      </w:hyperlink>
    </w:p>
    <w:p w14:paraId="5341A122" w14:textId="77777777" w:rsidR="00B263C5" w:rsidRPr="00B263C5" w:rsidRDefault="00B263C5" w:rsidP="00B263C5">
      <w:pPr>
        <w:spacing w:after="0" w:line="240" w:lineRule="auto"/>
        <w:rPr>
          <w:rFonts w:ascii="Times New Roman" w:eastAsia="Times New Roman" w:hAnsi="Times New Roman" w:cs="Times New Roman"/>
          <w:sz w:val="24"/>
          <w:szCs w:val="24"/>
          <w:lang w:val="en-US"/>
        </w:rPr>
      </w:pPr>
      <w:r w:rsidRPr="00B263C5">
        <w:rPr>
          <w:rFonts w:ascii="Times New Roman" w:eastAsia="Times New Roman" w:hAnsi="Times New Roman" w:cs="Times New Roman"/>
          <w:sz w:val="24"/>
          <w:szCs w:val="24"/>
          <w:lang w:val="en-US"/>
        </w:rPr>
        <w:t xml:space="preserve">Technical Discussion </w:t>
      </w:r>
    </w:p>
    <w:p w14:paraId="17CF71E4" w14:textId="77777777" w:rsidR="00B263C5" w:rsidRPr="00B263C5" w:rsidRDefault="00B263C5" w:rsidP="00B263C5">
      <w:pPr>
        <w:spacing w:before="100" w:beforeAutospacing="1" w:after="100" w:afterAutospacing="1" w:line="240" w:lineRule="auto"/>
        <w:ind w:left="720"/>
        <w:rPr>
          <w:rFonts w:ascii="Times New Roman" w:eastAsia="Times New Roman" w:hAnsi="Times New Roman" w:cs="Times New Roman"/>
          <w:sz w:val="24"/>
          <w:szCs w:val="24"/>
          <w:lang w:val="en-US"/>
        </w:rPr>
      </w:pPr>
      <w:r w:rsidRPr="00B263C5">
        <w:rPr>
          <w:rFonts w:ascii="Times New Roman" w:eastAsia="Times New Roman" w:hAnsi="Times New Roman" w:cs="Times New Roman"/>
          <w:sz w:val="24"/>
          <w:szCs w:val="24"/>
          <w:lang w:val="en-US"/>
        </w:rPr>
        <w:t xml:space="preserve">ANZ is one of Australia's "Big 4" offering a range of banking and financial products to retail, corporate and institutional clients. Whilst ANZ is best known in Australia and New Zealand, it has a significant business in Asia. In July 2014, the company completed the </w:t>
      </w:r>
      <w:r w:rsidRPr="00B263C5">
        <w:rPr>
          <w:rFonts w:ascii="Times New Roman" w:eastAsia="Times New Roman" w:hAnsi="Times New Roman" w:cs="Times New Roman"/>
          <w:sz w:val="24"/>
          <w:szCs w:val="24"/>
          <w:lang w:val="en-US"/>
        </w:rPr>
        <w:lastRenderedPageBreak/>
        <w:t>sale of ANZ Trustees Ltd to Equity Trustees Ltd. For the year ending the 30th of September 2017, interest income decreased 3% to A$29.12B. Net interest income after loan loss provision increased 4% to A$13.67B. Net income increased 12% to A$6.41B. Net interest income after loan loss provision highlights the Australia section increase of 3% to A$7.49B and the New Zealand section increase of 5% to A$2.44B. Broker/Analyst consensus is currently “Hold”. The company pays a dividend of 6.1%.</w:t>
      </w:r>
    </w:p>
    <w:p w14:paraId="0C50F7D2" w14:textId="77777777" w:rsidR="00B263C5" w:rsidRPr="00B263C5" w:rsidRDefault="00B263C5" w:rsidP="00B263C5">
      <w:pPr>
        <w:spacing w:before="100" w:beforeAutospacing="1" w:after="100" w:afterAutospacing="1" w:line="240" w:lineRule="auto"/>
        <w:ind w:left="720"/>
        <w:rPr>
          <w:rFonts w:ascii="Times New Roman" w:eastAsia="Times New Roman" w:hAnsi="Times New Roman" w:cs="Times New Roman"/>
          <w:sz w:val="24"/>
          <w:szCs w:val="24"/>
          <w:lang w:val="en-US"/>
        </w:rPr>
      </w:pPr>
      <w:r w:rsidRPr="00B263C5">
        <w:rPr>
          <w:rFonts w:ascii="Times New Roman" w:eastAsia="Times New Roman" w:hAnsi="Times New Roman" w:cs="Times New Roman"/>
          <w:sz w:val="24"/>
          <w:szCs w:val="24"/>
          <w:lang w:val="en-US"/>
        </w:rPr>
        <w:t>Reasons to be cautious:</w:t>
      </w:r>
      <w:r w:rsidRPr="00B263C5">
        <w:rPr>
          <w:rFonts w:ascii="Times New Roman" w:eastAsia="Times New Roman" w:hAnsi="Times New Roman" w:cs="Times New Roman"/>
          <w:sz w:val="24"/>
          <w:szCs w:val="24"/>
          <w:lang w:val="en-US"/>
        </w:rPr>
        <w:br/>
        <w:t>→ A high degree of uncertainty due to the Royal commission.</w:t>
      </w:r>
      <w:r w:rsidRPr="00B263C5">
        <w:rPr>
          <w:rFonts w:ascii="Times New Roman" w:eastAsia="Times New Roman" w:hAnsi="Times New Roman" w:cs="Times New Roman"/>
          <w:sz w:val="24"/>
          <w:szCs w:val="24"/>
          <w:lang w:val="en-US"/>
        </w:rPr>
        <w:br/>
        <w:t>→ Management delivering on cost reductions, credit quality and capital generation.</w:t>
      </w:r>
      <w:r w:rsidRPr="00B263C5">
        <w:rPr>
          <w:rFonts w:ascii="Times New Roman" w:eastAsia="Times New Roman" w:hAnsi="Times New Roman" w:cs="Times New Roman"/>
          <w:sz w:val="24"/>
          <w:szCs w:val="24"/>
          <w:lang w:val="en-US"/>
        </w:rPr>
        <w:br/>
        <w:t>→ Buybacks for FY18 could be as high as $2.5bn.</w:t>
      </w:r>
      <w:r w:rsidRPr="00B263C5">
        <w:rPr>
          <w:rFonts w:ascii="Times New Roman" w:eastAsia="Times New Roman" w:hAnsi="Times New Roman" w:cs="Times New Roman"/>
          <w:sz w:val="24"/>
          <w:szCs w:val="24"/>
          <w:lang w:val="en-US"/>
        </w:rPr>
        <w:br/>
        <w:t>→ Slow third-quarter asset sales and revenue weakness.</w:t>
      </w:r>
      <w:r w:rsidRPr="00B263C5">
        <w:rPr>
          <w:rFonts w:ascii="Times New Roman" w:eastAsia="Times New Roman" w:hAnsi="Times New Roman" w:cs="Times New Roman"/>
          <w:sz w:val="24"/>
          <w:szCs w:val="24"/>
          <w:lang w:val="en-US"/>
        </w:rPr>
        <w:br/>
        <w:t>→ Poor underlying revenue growth and weaker markets income.</w:t>
      </w:r>
      <w:r w:rsidRPr="00B263C5">
        <w:rPr>
          <w:rFonts w:ascii="Times New Roman" w:eastAsia="Times New Roman" w:hAnsi="Times New Roman" w:cs="Times New Roman"/>
          <w:sz w:val="24"/>
          <w:szCs w:val="24"/>
          <w:lang w:val="en-US"/>
        </w:rPr>
        <w:br/>
        <w:t>→ Earnings per share stronger than its peers.</w:t>
      </w:r>
      <w:r w:rsidRPr="00B263C5">
        <w:rPr>
          <w:rFonts w:ascii="Times New Roman" w:eastAsia="Times New Roman" w:hAnsi="Times New Roman" w:cs="Times New Roman"/>
          <w:sz w:val="24"/>
          <w:szCs w:val="24"/>
          <w:lang w:val="en-US"/>
        </w:rPr>
        <w:br/>
        <w:t>→ Higher bond yields will reduce pressure on net interest margins.</w:t>
      </w:r>
      <w:r w:rsidRPr="00B263C5">
        <w:rPr>
          <w:rFonts w:ascii="Times New Roman" w:eastAsia="Times New Roman" w:hAnsi="Times New Roman" w:cs="Times New Roman"/>
          <w:sz w:val="24"/>
          <w:szCs w:val="24"/>
          <w:lang w:val="en-US"/>
        </w:rPr>
        <w:br/>
        <w:t>→ Improved credit quality and steady revenue trends.</w:t>
      </w:r>
      <w:r w:rsidRPr="00B263C5">
        <w:rPr>
          <w:rFonts w:ascii="Times New Roman" w:eastAsia="Times New Roman" w:hAnsi="Times New Roman" w:cs="Times New Roman"/>
          <w:sz w:val="24"/>
          <w:szCs w:val="24"/>
          <w:lang w:val="en-US"/>
        </w:rPr>
        <w:br/>
        <w:t>→ Restructuring remains a focus.</w:t>
      </w:r>
      <w:r w:rsidRPr="00B263C5">
        <w:rPr>
          <w:rFonts w:ascii="Times New Roman" w:eastAsia="Times New Roman" w:hAnsi="Times New Roman" w:cs="Times New Roman"/>
          <w:sz w:val="24"/>
          <w:szCs w:val="24"/>
          <w:lang w:val="en-US"/>
        </w:rPr>
        <w:br/>
        <w:t>→ The mortgage pricing war appears to have eased with discounting reduced.</w:t>
      </w:r>
    </w:p>
    <w:p w14:paraId="193FEB6A" w14:textId="77777777" w:rsidR="00B263C5" w:rsidRPr="00B263C5" w:rsidRDefault="00B263C5" w:rsidP="00B263C5">
      <w:pPr>
        <w:spacing w:before="100" w:beforeAutospacing="1" w:after="100" w:afterAutospacing="1" w:line="240" w:lineRule="auto"/>
        <w:ind w:left="720"/>
        <w:rPr>
          <w:rFonts w:ascii="Times New Roman" w:eastAsia="Times New Roman" w:hAnsi="Times New Roman" w:cs="Times New Roman"/>
          <w:sz w:val="24"/>
          <w:szCs w:val="24"/>
          <w:lang w:val="en-US"/>
        </w:rPr>
      </w:pPr>
      <w:r w:rsidRPr="00B263C5">
        <w:rPr>
          <w:rFonts w:ascii="Times New Roman" w:eastAsia="Times New Roman" w:hAnsi="Times New Roman" w:cs="Times New Roman"/>
          <w:sz w:val="24"/>
          <w:szCs w:val="24"/>
          <w:lang w:val="en-US"/>
        </w:rPr>
        <w:t>To say that sentiment is negative for the big four banks would be an understatement with many headwinds making investors look elsewhere. The Royal commission outcome is an unknown and is the main reason for continued nervousness although there are other factors to take into consideration. The housing cycle is one, with most analysts and brokers suggesting that it is softening. High levels of household debt coupled with high house prices will likely trigger a downturn at some juncture although it continues to remain resilient for the time being. The mortgage markets are also suffering due to more arduous capital rules, credit rationing and tighter lending standards. This opens the door for lower returns for the banks. That’s the bad news. The better news is that most of these factors are likely already factored into price meaning the likes of ANZ are unlikely to fall over the edge of a cliff, albeit there is still downside risk. During our last review we were looking for a probe down to the wave equality projection as annotated at $25.00 which is still our expectation. There could be a bounce during the interim due to bullish divergence on this weekly chart although price would need to head higher immediately for it to trigger. In other words, it’s something to watch only at this stage as opposed to advocating a turnaround right here and now. From an Elliott perspective a push down to the aforementioned target area followed by strength would increase the chances of witnessing a large triangle. If this is to be the way forward it’s going to take several months, if not years before completing although there will be decent trends within such a large pattern.</w:t>
      </w:r>
    </w:p>
    <w:p w14:paraId="4436F6DB" w14:textId="77777777" w:rsidR="00B263C5" w:rsidRPr="00B263C5" w:rsidRDefault="00B263C5" w:rsidP="00B263C5">
      <w:pPr>
        <w:spacing w:after="0" w:line="240" w:lineRule="auto"/>
        <w:rPr>
          <w:rFonts w:ascii="Times New Roman" w:eastAsia="Times New Roman" w:hAnsi="Times New Roman" w:cs="Times New Roman"/>
          <w:sz w:val="24"/>
          <w:szCs w:val="24"/>
          <w:lang w:val="en-US"/>
        </w:rPr>
      </w:pPr>
      <w:r w:rsidRPr="00B263C5">
        <w:rPr>
          <w:rFonts w:ascii="Times New Roman" w:eastAsia="Times New Roman" w:hAnsi="Times New Roman" w:cs="Times New Roman"/>
          <w:sz w:val="24"/>
          <w:szCs w:val="24"/>
          <w:lang w:val="en-US"/>
        </w:rPr>
        <w:t xml:space="preserve">Trading Strategy </w:t>
      </w:r>
    </w:p>
    <w:p w14:paraId="0BA915FD" w14:textId="77777777" w:rsidR="00B263C5" w:rsidRPr="00B263C5" w:rsidRDefault="00B263C5" w:rsidP="00B263C5">
      <w:pPr>
        <w:spacing w:after="0" w:line="240" w:lineRule="auto"/>
        <w:ind w:left="720"/>
        <w:rPr>
          <w:rFonts w:ascii="Times New Roman" w:eastAsia="Times New Roman" w:hAnsi="Times New Roman" w:cs="Times New Roman"/>
          <w:sz w:val="24"/>
          <w:szCs w:val="24"/>
          <w:lang w:val="en-US"/>
        </w:rPr>
      </w:pPr>
      <w:r w:rsidRPr="00B263C5">
        <w:rPr>
          <w:rFonts w:ascii="Times New Roman" w:eastAsia="Times New Roman" w:hAnsi="Times New Roman" w:cs="Times New Roman"/>
          <w:i/>
          <w:iCs/>
          <w:sz w:val="24"/>
          <w:szCs w:val="24"/>
          <w:lang w:val="en-US"/>
        </w:rPr>
        <w:t>“…For those looking for the bigger buying opportunity it now seems like much more time is going to be required before a sustainable uptrend kicks into gear…”</w:t>
      </w:r>
      <w:r w:rsidRPr="00B263C5">
        <w:rPr>
          <w:rFonts w:ascii="Times New Roman" w:eastAsia="Times New Roman" w:hAnsi="Times New Roman" w:cs="Times New Roman"/>
          <w:sz w:val="24"/>
          <w:szCs w:val="24"/>
          <w:lang w:val="en-US"/>
        </w:rPr>
        <w:t xml:space="preserve">   Nothing changes from a trading point of view with no opportunities available at this time. However, there is scope for a decent bounce to materialise from the wave equality projection which isn’t too far beneath current levels. Our stance has been to stand aside from the banks over the </w:t>
      </w:r>
      <w:r w:rsidRPr="00B263C5">
        <w:rPr>
          <w:rFonts w:ascii="Times New Roman" w:eastAsia="Times New Roman" w:hAnsi="Times New Roman" w:cs="Times New Roman"/>
          <w:sz w:val="24"/>
          <w:szCs w:val="24"/>
          <w:lang w:val="en-US"/>
        </w:rPr>
        <w:lastRenderedPageBreak/>
        <w:t>past few months, especially as there have been far better opportunities elsewhere. Nothing changes in that regard.</w:t>
      </w:r>
    </w:p>
    <w:p w14:paraId="7F3382D7" w14:textId="77777777" w:rsidR="00B263C5" w:rsidRDefault="00B263C5">
      <w:bookmarkStart w:id="0" w:name="_GoBack"/>
      <w:bookmarkEnd w:id="0"/>
    </w:p>
    <w:sectPr w:rsidR="00B263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BBA1E91-F44C-4836-BFB3-905F78D3D0E6}"/>
    <w:docVar w:name="dgnword-eventsink" w:val="360620416"/>
  </w:docVars>
  <w:rsids>
    <w:rsidRoot w:val="00B263C5"/>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2178D"/>
    <w:rsid w:val="00B263C5"/>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5685C"/>
  <w15:chartTrackingRefBased/>
  <w15:docId w15:val="{FE9472BA-E137-4B12-835F-B44ED2F9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699257">
      <w:bodyDiv w:val="1"/>
      <w:marLeft w:val="0"/>
      <w:marRight w:val="0"/>
      <w:marTop w:val="0"/>
      <w:marBottom w:val="0"/>
      <w:divBdr>
        <w:top w:val="none" w:sz="0" w:space="0" w:color="auto"/>
        <w:left w:val="none" w:sz="0" w:space="0" w:color="auto"/>
        <w:bottom w:val="none" w:sz="0" w:space="0" w:color="auto"/>
        <w:right w:val="none" w:sz="0" w:space="0" w:color="auto"/>
      </w:divBdr>
      <w:divsChild>
        <w:div w:id="466897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Pn5q4T5Gyfq"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Hammersley</dc:creator>
  <cp:keywords/>
  <dc:description/>
  <cp:lastModifiedBy>Lorraine Hammersley</cp:lastModifiedBy>
  <cp:revision>1</cp:revision>
  <dcterms:created xsi:type="dcterms:W3CDTF">2018-07-18T04:30:00Z</dcterms:created>
  <dcterms:modified xsi:type="dcterms:W3CDTF">2018-07-18T04:31:00Z</dcterms:modified>
</cp:coreProperties>
</file>