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6C1" w:rsidRDefault="007156C1" w:rsidP="007156C1">
      <w:pPr>
        <w:spacing w:after="0" w:line="240" w:lineRule="auto"/>
        <w:ind w:left="720"/>
        <w:rPr>
          <w:rFonts w:ascii="Times New Roman" w:eastAsia="Times New Roman" w:hAnsi="Times New Roman" w:cs="Times New Roman"/>
          <w:sz w:val="24"/>
          <w:szCs w:val="24"/>
          <w:lang w:eastAsia="en-GB"/>
        </w:rPr>
      </w:pPr>
    </w:p>
    <w:p w:rsidR="007156C1" w:rsidRPr="007156C1" w:rsidRDefault="007156C1" w:rsidP="007156C1">
      <w:pPr>
        <w:spacing w:after="0" w:line="240" w:lineRule="auto"/>
        <w:ind w:left="720"/>
        <w:rPr>
          <w:rFonts w:ascii="Times New Roman" w:eastAsia="Times New Roman" w:hAnsi="Times New Roman" w:cs="Times New Roman"/>
          <w:sz w:val="24"/>
          <w:szCs w:val="24"/>
          <w:lang w:eastAsia="en-GB"/>
        </w:rPr>
      </w:pPr>
      <w:r w:rsidRPr="007156C1">
        <w:rPr>
          <w:rFonts w:ascii="Times New Roman" w:eastAsia="Times New Roman" w:hAnsi="Times New Roman" w:cs="Times New Roman"/>
          <w:sz w:val="24"/>
          <w:szCs w:val="24"/>
          <w:lang w:eastAsia="en-GB"/>
        </w:rPr>
        <w:t xml:space="preserve">APA Group (APA) </w:t>
      </w:r>
    </w:p>
    <w:p w:rsidR="007156C1" w:rsidRPr="007156C1" w:rsidRDefault="007156C1" w:rsidP="007156C1">
      <w:pPr>
        <w:spacing w:after="0" w:line="240" w:lineRule="auto"/>
        <w:rPr>
          <w:rFonts w:ascii="Times New Roman" w:eastAsia="Times New Roman" w:hAnsi="Times New Roman" w:cs="Times New Roman"/>
          <w:sz w:val="24"/>
          <w:szCs w:val="24"/>
          <w:lang w:eastAsia="en-GB"/>
        </w:rPr>
      </w:pPr>
      <w:r w:rsidRPr="007156C1">
        <w:rPr>
          <w:rFonts w:ascii="Times New Roman" w:eastAsia="Times New Roman" w:hAnsi="Times New Roman" w:cs="Times New Roman"/>
          <w:sz w:val="24"/>
          <w:szCs w:val="24"/>
          <w:lang w:eastAsia="en-GB"/>
        </w:rPr>
        <w:t xml:space="preserve">Chart </w:t>
      </w:r>
    </w:p>
    <w:p w:rsidR="007156C1" w:rsidRPr="007156C1" w:rsidRDefault="007156C1" w:rsidP="007156C1">
      <w:pPr>
        <w:spacing w:after="0" w:line="240" w:lineRule="auto"/>
        <w:ind w:left="720"/>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6426200" cy="5334000"/>
            <wp:effectExtent l="19050" t="0" r="0" b="0"/>
            <wp:docPr id="1" name="Picture 1" descr="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A"/>
                    <pic:cNvPicPr>
                      <a:picLocks noChangeAspect="1" noChangeArrowheads="1"/>
                    </pic:cNvPicPr>
                  </pic:nvPicPr>
                  <pic:blipFill>
                    <a:blip r:embed="rId4" cstate="print"/>
                    <a:srcRect/>
                    <a:stretch>
                      <a:fillRect/>
                    </a:stretch>
                  </pic:blipFill>
                  <pic:spPr bwMode="auto">
                    <a:xfrm>
                      <a:off x="0" y="0"/>
                      <a:ext cx="6426200" cy="5334000"/>
                    </a:xfrm>
                    <a:prstGeom prst="rect">
                      <a:avLst/>
                    </a:prstGeom>
                    <a:noFill/>
                    <a:ln w="9525">
                      <a:noFill/>
                      <a:miter lim="800000"/>
                      <a:headEnd/>
                      <a:tailEnd/>
                    </a:ln>
                  </pic:spPr>
                </pic:pic>
              </a:graphicData>
            </a:graphic>
          </wp:inline>
        </w:drawing>
      </w:r>
    </w:p>
    <w:p w:rsidR="007156C1" w:rsidRPr="007156C1" w:rsidRDefault="007156C1" w:rsidP="007156C1">
      <w:pPr>
        <w:spacing w:after="0" w:line="240" w:lineRule="auto"/>
        <w:rPr>
          <w:rFonts w:ascii="Times New Roman" w:eastAsia="Times New Roman" w:hAnsi="Times New Roman" w:cs="Times New Roman"/>
          <w:sz w:val="24"/>
          <w:szCs w:val="24"/>
          <w:lang w:eastAsia="en-GB"/>
        </w:rPr>
      </w:pPr>
      <w:r w:rsidRPr="007156C1">
        <w:rPr>
          <w:rFonts w:ascii="Times New Roman" w:eastAsia="Times New Roman" w:hAnsi="Times New Roman" w:cs="Times New Roman"/>
          <w:sz w:val="24"/>
          <w:szCs w:val="24"/>
          <w:lang w:eastAsia="en-GB"/>
        </w:rPr>
        <w:t xml:space="preserve">Bottom Line </w:t>
      </w:r>
    </w:p>
    <w:p w:rsidR="007156C1" w:rsidRPr="007156C1" w:rsidRDefault="007156C1" w:rsidP="007156C1">
      <w:pPr>
        <w:spacing w:before="100" w:beforeAutospacing="1" w:after="100" w:afterAutospacing="1" w:line="240" w:lineRule="auto"/>
        <w:ind w:left="720"/>
        <w:rPr>
          <w:rFonts w:ascii="Times New Roman" w:eastAsia="Times New Roman" w:hAnsi="Times New Roman" w:cs="Times New Roman"/>
          <w:sz w:val="24"/>
          <w:szCs w:val="24"/>
          <w:lang w:eastAsia="en-GB"/>
        </w:rPr>
      </w:pPr>
      <w:r w:rsidRPr="007156C1">
        <w:rPr>
          <w:rFonts w:ascii="Times New Roman" w:eastAsia="Times New Roman" w:hAnsi="Times New Roman" w:cs="Times New Roman"/>
          <w:sz w:val="24"/>
          <w:szCs w:val="24"/>
          <w:lang w:eastAsia="en-GB"/>
        </w:rPr>
        <w:t>6/7</w:t>
      </w:r>
      <w:proofErr w:type="gramStart"/>
      <w:r w:rsidRPr="007156C1">
        <w:rPr>
          <w:rFonts w:ascii="Times New Roman" w:eastAsia="Times New Roman" w:hAnsi="Times New Roman" w:cs="Times New Roman"/>
          <w:sz w:val="24"/>
          <w:szCs w:val="24"/>
          <w:lang w:eastAsia="en-GB"/>
        </w:rPr>
        <w:t>:</w:t>
      </w:r>
      <w:proofErr w:type="gramEnd"/>
      <w:r w:rsidRPr="007156C1">
        <w:rPr>
          <w:rFonts w:ascii="Times New Roman" w:eastAsia="Times New Roman" w:hAnsi="Times New Roman" w:cs="Times New Roman"/>
          <w:sz w:val="24"/>
          <w:szCs w:val="24"/>
          <w:lang w:eastAsia="en-GB"/>
        </w:rPr>
        <w:br/>
        <w:t xml:space="preserve">Daily Trend: </w:t>
      </w:r>
      <w:r w:rsidRPr="007156C1">
        <w:rPr>
          <w:rFonts w:ascii="Times New Roman" w:eastAsia="Times New Roman" w:hAnsi="Times New Roman" w:cs="Times New Roman"/>
          <w:color w:val="FF0000"/>
          <w:sz w:val="24"/>
          <w:szCs w:val="24"/>
          <w:lang w:eastAsia="en-GB"/>
        </w:rPr>
        <w:t>Down</w:t>
      </w:r>
      <w:r w:rsidRPr="007156C1">
        <w:rPr>
          <w:rFonts w:ascii="Times New Roman" w:eastAsia="Times New Roman" w:hAnsi="Times New Roman" w:cs="Times New Roman"/>
          <w:sz w:val="24"/>
          <w:szCs w:val="24"/>
          <w:lang w:eastAsia="en-GB"/>
        </w:rPr>
        <w:br/>
      </w:r>
      <w:proofErr w:type="spellStart"/>
      <w:r w:rsidRPr="007156C1">
        <w:rPr>
          <w:rFonts w:ascii="Times New Roman" w:eastAsia="Times New Roman" w:hAnsi="Times New Roman" w:cs="Times New Roman"/>
          <w:sz w:val="24"/>
          <w:szCs w:val="24"/>
          <w:lang w:eastAsia="en-GB"/>
        </w:rPr>
        <w:t>WeeklyTrend</w:t>
      </w:r>
      <w:proofErr w:type="spellEnd"/>
      <w:r w:rsidRPr="007156C1">
        <w:rPr>
          <w:rFonts w:ascii="Times New Roman" w:eastAsia="Times New Roman" w:hAnsi="Times New Roman" w:cs="Times New Roman"/>
          <w:sz w:val="24"/>
          <w:szCs w:val="24"/>
          <w:lang w:eastAsia="en-GB"/>
        </w:rPr>
        <w:t xml:space="preserve">: </w:t>
      </w:r>
      <w:r w:rsidRPr="007156C1">
        <w:rPr>
          <w:rFonts w:ascii="Times New Roman" w:eastAsia="Times New Roman" w:hAnsi="Times New Roman" w:cs="Times New Roman"/>
          <w:color w:val="FF0000"/>
          <w:sz w:val="24"/>
          <w:szCs w:val="24"/>
          <w:lang w:eastAsia="en-GB"/>
        </w:rPr>
        <w:t>Down</w:t>
      </w:r>
      <w:r w:rsidRPr="007156C1">
        <w:rPr>
          <w:rFonts w:ascii="Times New Roman" w:eastAsia="Times New Roman" w:hAnsi="Times New Roman" w:cs="Times New Roman"/>
          <w:sz w:val="24"/>
          <w:szCs w:val="24"/>
          <w:lang w:eastAsia="en-GB"/>
        </w:rPr>
        <w:br/>
        <w:t xml:space="preserve">Monthly Trend: </w:t>
      </w:r>
      <w:r w:rsidRPr="007156C1">
        <w:rPr>
          <w:rFonts w:ascii="Times New Roman" w:eastAsia="Times New Roman" w:hAnsi="Times New Roman" w:cs="Times New Roman"/>
          <w:color w:val="00FF00"/>
          <w:sz w:val="24"/>
          <w:szCs w:val="24"/>
          <w:lang w:eastAsia="en-GB"/>
        </w:rPr>
        <w:t>Up</w:t>
      </w:r>
      <w:r w:rsidRPr="007156C1">
        <w:rPr>
          <w:rFonts w:ascii="Times New Roman" w:eastAsia="Times New Roman" w:hAnsi="Times New Roman" w:cs="Times New Roman"/>
          <w:color w:val="00FF00"/>
          <w:sz w:val="24"/>
          <w:szCs w:val="24"/>
          <w:lang w:eastAsia="en-GB"/>
        </w:rPr>
        <w:br/>
      </w:r>
      <w:r w:rsidRPr="007156C1">
        <w:rPr>
          <w:rFonts w:ascii="Times New Roman" w:eastAsia="Times New Roman" w:hAnsi="Times New Roman" w:cs="Times New Roman"/>
          <w:sz w:val="24"/>
          <w:szCs w:val="24"/>
          <w:lang w:eastAsia="en-GB"/>
        </w:rPr>
        <w:t>Support Levels: $8.98 / $8.21 / $7.15</w:t>
      </w:r>
      <w:r w:rsidRPr="007156C1">
        <w:rPr>
          <w:rFonts w:ascii="Times New Roman" w:eastAsia="Times New Roman" w:hAnsi="Times New Roman" w:cs="Times New Roman"/>
          <w:sz w:val="24"/>
          <w:szCs w:val="24"/>
          <w:lang w:eastAsia="en-GB"/>
        </w:rPr>
        <w:br/>
        <w:t>Resistance Levels: $9.94 - $10.14</w:t>
      </w:r>
    </w:p>
    <w:p w:rsidR="007156C1" w:rsidRPr="007156C1" w:rsidRDefault="007156C1" w:rsidP="007156C1">
      <w:pPr>
        <w:spacing w:after="0" w:line="240" w:lineRule="auto"/>
        <w:rPr>
          <w:rFonts w:ascii="Times New Roman" w:eastAsia="Times New Roman" w:hAnsi="Times New Roman" w:cs="Times New Roman"/>
          <w:sz w:val="24"/>
          <w:szCs w:val="24"/>
          <w:lang w:eastAsia="en-GB"/>
        </w:rPr>
      </w:pPr>
      <w:r w:rsidRPr="007156C1">
        <w:rPr>
          <w:rFonts w:ascii="Times New Roman" w:eastAsia="Times New Roman" w:hAnsi="Times New Roman" w:cs="Times New Roman"/>
          <w:sz w:val="24"/>
          <w:szCs w:val="24"/>
          <w:lang w:eastAsia="en-GB"/>
        </w:rPr>
        <w:t xml:space="preserve">Video Analysis </w:t>
      </w:r>
    </w:p>
    <w:p w:rsidR="007156C1" w:rsidRPr="007156C1" w:rsidRDefault="007156C1" w:rsidP="007156C1">
      <w:pPr>
        <w:spacing w:after="0" w:line="240" w:lineRule="auto"/>
        <w:ind w:left="720"/>
        <w:rPr>
          <w:rFonts w:ascii="Times New Roman" w:eastAsia="Times New Roman" w:hAnsi="Times New Roman" w:cs="Times New Roman"/>
          <w:sz w:val="24"/>
          <w:szCs w:val="24"/>
          <w:lang w:eastAsia="en-GB"/>
        </w:rPr>
      </w:pPr>
      <w:hyperlink r:id="rId5" w:tgtFrame="_blank" w:history="1">
        <w:r w:rsidRPr="007156C1">
          <w:rPr>
            <w:rFonts w:ascii="Times New Roman" w:eastAsia="Times New Roman" w:hAnsi="Times New Roman" w:cs="Times New Roman"/>
            <w:color w:val="0000FF"/>
            <w:sz w:val="24"/>
            <w:szCs w:val="24"/>
            <w:u w:val="single"/>
            <w:lang w:eastAsia="en-GB"/>
          </w:rPr>
          <w:t xml:space="preserve">Watch Video Analysis Here </w:t>
        </w:r>
      </w:hyperlink>
    </w:p>
    <w:p w:rsidR="007156C1" w:rsidRPr="007156C1" w:rsidRDefault="007156C1" w:rsidP="007156C1">
      <w:pPr>
        <w:spacing w:after="0" w:line="240" w:lineRule="auto"/>
        <w:rPr>
          <w:rFonts w:ascii="Times New Roman" w:eastAsia="Times New Roman" w:hAnsi="Times New Roman" w:cs="Times New Roman"/>
          <w:sz w:val="24"/>
          <w:szCs w:val="24"/>
          <w:lang w:eastAsia="en-GB"/>
        </w:rPr>
      </w:pPr>
      <w:r w:rsidRPr="007156C1">
        <w:rPr>
          <w:rFonts w:ascii="Times New Roman" w:eastAsia="Times New Roman" w:hAnsi="Times New Roman" w:cs="Times New Roman"/>
          <w:sz w:val="24"/>
          <w:szCs w:val="24"/>
          <w:lang w:eastAsia="en-GB"/>
        </w:rPr>
        <w:t xml:space="preserve">Technical Discussion </w:t>
      </w:r>
    </w:p>
    <w:p w:rsidR="007156C1" w:rsidRPr="007156C1" w:rsidRDefault="007156C1" w:rsidP="007156C1">
      <w:pPr>
        <w:spacing w:before="100" w:beforeAutospacing="1" w:after="100" w:afterAutospacing="1" w:line="240" w:lineRule="auto"/>
        <w:ind w:left="720"/>
        <w:rPr>
          <w:rFonts w:ascii="Times New Roman" w:eastAsia="Times New Roman" w:hAnsi="Times New Roman" w:cs="Times New Roman"/>
          <w:sz w:val="24"/>
          <w:szCs w:val="24"/>
          <w:lang w:eastAsia="en-GB"/>
        </w:rPr>
      </w:pPr>
      <w:r w:rsidRPr="007156C1">
        <w:rPr>
          <w:rFonts w:ascii="Times New Roman" w:eastAsia="Times New Roman" w:hAnsi="Times New Roman" w:cs="Times New Roman"/>
          <w:sz w:val="24"/>
          <w:szCs w:val="24"/>
          <w:lang w:eastAsia="en-GB"/>
        </w:rPr>
        <w:t xml:space="preserve">APA Group (APA) is involved in the natural gas infrastructure business. The Company operates through Energy Infrastructure, Asset Management and Energy Investments sections. Its Energy Infrastructure section includes gas transmission, gas compression, gas storage assets and Emu Downs Wind Farm. Its Asset Management </w:t>
      </w:r>
      <w:r w:rsidRPr="007156C1">
        <w:rPr>
          <w:rFonts w:ascii="Times New Roman" w:eastAsia="Times New Roman" w:hAnsi="Times New Roman" w:cs="Times New Roman"/>
          <w:sz w:val="24"/>
          <w:szCs w:val="24"/>
          <w:lang w:eastAsia="en-GB"/>
        </w:rPr>
        <w:lastRenderedPageBreak/>
        <w:t xml:space="preserve">section provides commercial, operating services and asset maintenance services to the Company's energy investments and to a range of third-parties. The Company operates in Australia only. It holds various minority interests in energy infrastructure enterprises. The Energy Infrastructure assets are managed as the East Coast Grid plus Northern Territory (Queensland, New South Wales, Victoria, South Australia and the Northern Territory) and Western Australia. For the six months ending the 31st of December 2016 revenues increased 12% to </w:t>
      </w:r>
      <w:proofErr w:type="gramStart"/>
      <w:r w:rsidRPr="007156C1">
        <w:rPr>
          <w:rFonts w:ascii="Times New Roman" w:eastAsia="Times New Roman" w:hAnsi="Times New Roman" w:cs="Times New Roman"/>
          <w:sz w:val="24"/>
          <w:szCs w:val="24"/>
          <w:lang w:eastAsia="en-GB"/>
        </w:rPr>
        <w:t>A$</w:t>
      </w:r>
      <w:proofErr w:type="gramEnd"/>
      <w:r w:rsidRPr="007156C1">
        <w:rPr>
          <w:rFonts w:ascii="Times New Roman" w:eastAsia="Times New Roman" w:hAnsi="Times New Roman" w:cs="Times New Roman"/>
          <w:sz w:val="24"/>
          <w:szCs w:val="24"/>
          <w:lang w:eastAsia="en-GB"/>
        </w:rPr>
        <w:t xml:space="preserve">1.17B. Net income increased 40% to </w:t>
      </w:r>
      <w:proofErr w:type="gramStart"/>
      <w:r w:rsidRPr="007156C1">
        <w:rPr>
          <w:rFonts w:ascii="Times New Roman" w:eastAsia="Times New Roman" w:hAnsi="Times New Roman" w:cs="Times New Roman"/>
          <w:sz w:val="24"/>
          <w:szCs w:val="24"/>
          <w:lang w:eastAsia="en-GB"/>
        </w:rPr>
        <w:t>A$</w:t>
      </w:r>
      <w:proofErr w:type="gramEnd"/>
      <w:r w:rsidRPr="007156C1">
        <w:rPr>
          <w:rFonts w:ascii="Times New Roman" w:eastAsia="Times New Roman" w:hAnsi="Times New Roman" w:cs="Times New Roman"/>
          <w:sz w:val="24"/>
          <w:szCs w:val="24"/>
          <w:lang w:eastAsia="en-GB"/>
        </w:rPr>
        <w:t xml:space="preserve">139.8M. Revenues highlight the Energy infrastructure section increase of 23% to </w:t>
      </w:r>
      <w:proofErr w:type="gramStart"/>
      <w:r w:rsidRPr="007156C1">
        <w:rPr>
          <w:rFonts w:ascii="Times New Roman" w:eastAsia="Times New Roman" w:hAnsi="Times New Roman" w:cs="Times New Roman"/>
          <w:sz w:val="24"/>
          <w:szCs w:val="24"/>
          <w:lang w:eastAsia="en-GB"/>
        </w:rPr>
        <w:t>A$</w:t>
      </w:r>
      <w:proofErr w:type="gramEnd"/>
      <w:r w:rsidRPr="007156C1">
        <w:rPr>
          <w:rFonts w:ascii="Times New Roman" w:eastAsia="Times New Roman" w:hAnsi="Times New Roman" w:cs="Times New Roman"/>
          <w:sz w:val="24"/>
          <w:szCs w:val="24"/>
          <w:lang w:eastAsia="en-GB"/>
        </w:rPr>
        <w:t>928.3M. Broker consensus is currently “Sell”. The dividend yield is 4.5%.</w:t>
      </w:r>
      <w:r w:rsidRPr="007156C1">
        <w:rPr>
          <w:rFonts w:ascii="Times New Roman" w:eastAsia="Times New Roman" w:hAnsi="Times New Roman" w:cs="Times New Roman"/>
          <w:sz w:val="24"/>
          <w:szCs w:val="24"/>
          <w:lang w:eastAsia="en-GB"/>
        </w:rPr>
        <w:br/>
        <w:t> </w:t>
      </w:r>
      <w:r w:rsidRPr="007156C1">
        <w:rPr>
          <w:rFonts w:ascii="Times New Roman" w:eastAsia="Times New Roman" w:hAnsi="Times New Roman" w:cs="Times New Roman"/>
          <w:sz w:val="24"/>
          <w:szCs w:val="24"/>
          <w:lang w:eastAsia="en-GB"/>
        </w:rPr>
        <w:br/>
        <w:t>Reasons to be cautious longer term</w:t>
      </w:r>
      <w:proofErr w:type="gramStart"/>
      <w:r w:rsidRPr="007156C1">
        <w:rPr>
          <w:rFonts w:ascii="Times New Roman" w:eastAsia="Times New Roman" w:hAnsi="Times New Roman" w:cs="Times New Roman"/>
          <w:sz w:val="24"/>
          <w:szCs w:val="24"/>
          <w:lang w:eastAsia="en-GB"/>
        </w:rPr>
        <w:t>:</w:t>
      </w:r>
      <w:proofErr w:type="gramEnd"/>
      <w:r w:rsidRPr="007156C1">
        <w:rPr>
          <w:rFonts w:ascii="Times New Roman" w:eastAsia="Times New Roman" w:hAnsi="Times New Roman" w:cs="Times New Roman"/>
          <w:sz w:val="24"/>
          <w:szCs w:val="24"/>
          <w:lang w:eastAsia="en-GB"/>
        </w:rPr>
        <w:br/>
        <w:t>→ An environment of rising interest rates will be challenging.</w:t>
      </w:r>
      <w:r w:rsidRPr="007156C1">
        <w:rPr>
          <w:rFonts w:ascii="Times New Roman" w:eastAsia="Times New Roman" w:hAnsi="Times New Roman" w:cs="Times New Roman"/>
          <w:sz w:val="24"/>
          <w:szCs w:val="24"/>
          <w:lang w:eastAsia="en-GB"/>
        </w:rPr>
        <w:br/>
        <w:t xml:space="preserve">→ High gas prices and the lack of supply response </w:t>
      </w:r>
      <w:proofErr w:type="gramStart"/>
      <w:r w:rsidRPr="007156C1">
        <w:rPr>
          <w:rFonts w:ascii="Times New Roman" w:eastAsia="Times New Roman" w:hAnsi="Times New Roman" w:cs="Times New Roman"/>
          <w:sz w:val="24"/>
          <w:szCs w:val="24"/>
          <w:lang w:eastAsia="en-GB"/>
        </w:rPr>
        <w:t>limits</w:t>
      </w:r>
      <w:proofErr w:type="gramEnd"/>
      <w:r w:rsidRPr="007156C1">
        <w:rPr>
          <w:rFonts w:ascii="Times New Roman" w:eastAsia="Times New Roman" w:hAnsi="Times New Roman" w:cs="Times New Roman"/>
          <w:sz w:val="24"/>
          <w:szCs w:val="24"/>
          <w:lang w:eastAsia="en-GB"/>
        </w:rPr>
        <w:t xml:space="preserve"> opportunities.</w:t>
      </w:r>
      <w:r w:rsidRPr="007156C1">
        <w:rPr>
          <w:rFonts w:ascii="Times New Roman" w:eastAsia="Times New Roman" w:hAnsi="Times New Roman" w:cs="Times New Roman"/>
          <w:sz w:val="24"/>
          <w:szCs w:val="24"/>
          <w:lang w:eastAsia="en-GB"/>
        </w:rPr>
        <w:br/>
        <w:t>→ Confidence remains muted due to regulatory uncertainty.</w:t>
      </w:r>
      <w:r w:rsidRPr="007156C1">
        <w:rPr>
          <w:rFonts w:ascii="Times New Roman" w:eastAsia="Times New Roman" w:hAnsi="Times New Roman" w:cs="Times New Roman"/>
          <w:sz w:val="24"/>
          <w:szCs w:val="24"/>
          <w:lang w:eastAsia="en-GB"/>
        </w:rPr>
        <w:br/>
        <w:t>→ Council of Australian Government meeting in December could have negative implications.</w:t>
      </w:r>
      <w:r w:rsidRPr="007156C1">
        <w:rPr>
          <w:rFonts w:ascii="Times New Roman" w:eastAsia="Times New Roman" w:hAnsi="Times New Roman" w:cs="Times New Roman"/>
          <w:sz w:val="24"/>
          <w:szCs w:val="24"/>
          <w:lang w:eastAsia="en-GB"/>
        </w:rPr>
        <w:br/>
        <w:t>→ ACCC findings advocate lowering the threshold for full regulation of APA’s pipelines.</w:t>
      </w:r>
      <w:r w:rsidRPr="007156C1">
        <w:rPr>
          <w:rFonts w:ascii="Times New Roman" w:eastAsia="Times New Roman" w:hAnsi="Times New Roman" w:cs="Times New Roman"/>
          <w:sz w:val="24"/>
          <w:szCs w:val="24"/>
          <w:lang w:eastAsia="en-GB"/>
        </w:rPr>
        <w:br/>
        <w:t xml:space="preserve">→ </w:t>
      </w:r>
      <w:proofErr w:type="gramStart"/>
      <w:r w:rsidRPr="007156C1">
        <w:rPr>
          <w:rFonts w:ascii="Times New Roman" w:eastAsia="Times New Roman" w:hAnsi="Times New Roman" w:cs="Times New Roman"/>
          <w:sz w:val="24"/>
          <w:szCs w:val="24"/>
          <w:lang w:eastAsia="en-GB"/>
        </w:rPr>
        <w:t>Lacklustre</w:t>
      </w:r>
      <w:proofErr w:type="gramEnd"/>
      <w:r w:rsidRPr="007156C1">
        <w:rPr>
          <w:rFonts w:ascii="Times New Roman" w:eastAsia="Times New Roman" w:hAnsi="Times New Roman" w:cs="Times New Roman"/>
          <w:sz w:val="24"/>
          <w:szCs w:val="24"/>
          <w:lang w:eastAsia="en-GB"/>
        </w:rPr>
        <w:t xml:space="preserve"> price action taking hold from March 2015.</w:t>
      </w:r>
    </w:p>
    <w:p w:rsidR="007156C1" w:rsidRPr="007156C1" w:rsidRDefault="007156C1" w:rsidP="007156C1">
      <w:pPr>
        <w:spacing w:before="100" w:beforeAutospacing="1" w:after="100" w:afterAutospacing="1" w:line="240" w:lineRule="auto"/>
        <w:ind w:left="720"/>
        <w:rPr>
          <w:rFonts w:ascii="Times New Roman" w:eastAsia="Times New Roman" w:hAnsi="Times New Roman" w:cs="Times New Roman"/>
          <w:sz w:val="24"/>
          <w:szCs w:val="24"/>
          <w:lang w:eastAsia="en-GB"/>
        </w:rPr>
      </w:pPr>
      <w:r w:rsidRPr="007156C1">
        <w:rPr>
          <w:rFonts w:ascii="Times New Roman" w:eastAsia="Times New Roman" w:hAnsi="Times New Roman" w:cs="Times New Roman"/>
          <w:sz w:val="24"/>
          <w:szCs w:val="24"/>
          <w:lang w:eastAsia="en-GB"/>
        </w:rPr>
        <w:t xml:space="preserve">We continue to believe APA is in a strong position to resume the trend which terminated back in May 2015 although whether a little more time is required remains to be seen. From those highs made just over a couple of years ago price has been consolidating which we are still viewing as being a healthy attribute. The problem now is that the leg higher from the November 2016 lows can still be counted as a 3-wave movement. This will be the case unless the wave equality projection sitting up at $10.14 is overcome with a push above likely triggering a multi-month trend higher which is something we’d want to be part of. For now though, a retracement is unfolding and we need to keep a close eye on the wave equality projection sitting at $8.98 as a push beneath that level would suggest a deeper retracement is going to unfold. This would be deemed the worst-case scenario as it would open the door to head all the way back down toward the prior pivot lows made late last year circa $7.15 which is a decent retracement from current levels. In other words, an inflection point has been reached although we have our aforementioned bullish and bearish triggers in place which is all we can do. </w:t>
      </w:r>
      <w:proofErr w:type="gramStart"/>
      <w:r w:rsidRPr="007156C1">
        <w:rPr>
          <w:rFonts w:ascii="Times New Roman" w:eastAsia="Times New Roman" w:hAnsi="Times New Roman" w:cs="Times New Roman"/>
          <w:sz w:val="24"/>
          <w:szCs w:val="24"/>
          <w:lang w:eastAsia="en-GB"/>
        </w:rPr>
        <w:t>Whether the deeper retracement materialises or not, there’s plenty to like longer-term.</w:t>
      </w:r>
      <w:proofErr w:type="gramEnd"/>
      <w:r w:rsidRPr="007156C1">
        <w:rPr>
          <w:rFonts w:ascii="Times New Roman" w:eastAsia="Times New Roman" w:hAnsi="Times New Roman" w:cs="Times New Roman"/>
          <w:sz w:val="24"/>
          <w:szCs w:val="24"/>
          <w:lang w:eastAsia="en-GB"/>
        </w:rPr>
        <w:t xml:space="preserve"> That said, brokers continue to dislike the stock almost without exception.</w:t>
      </w:r>
    </w:p>
    <w:p w:rsidR="007156C1" w:rsidRPr="007156C1" w:rsidRDefault="007156C1" w:rsidP="007156C1">
      <w:pPr>
        <w:spacing w:after="0" w:line="240" w:lineRule="auto"/>
        <w:rPr>
          <w:rFonts w:ascii="Times New Roman" w:eastAsia="Times New Roman" w:hAnsi="Times New Roman" w:cs="Times New Roman"/>
          <w:sz w:val="24"/>
          <w:szCs w:val="24"/>
          <w:lang w:eastAsia="en-GB"/>
        </w:rPr>
      </w:pPr>
      <w:r w:rsidRPr="007156C1">
        <w:rPr>
          <w:rFonts w:ascii="Times New Roman" w:eastAsia="Times New Roman" w:hAnsi="Times New Roman" w:cs="Times New Roman"/>
          <w:sz w:val="24"/>
          <w:szCs w:val="24"/>
          <w:lang w:eastAsia="en-GB"/>
        </w:rPr>
        <w:t xml:space="preserve">Trading Strategy </w:t>
      </w:r>
    </w:p>
    <w:p w:rsidR="007156C1" w:rsidRPr="007156C1" w:rsidRDefault="007156C1" w:rsidP="007156C1">
      <w:pPr>
        <w:spacing w:after="0" w:line="240" w:lineRule="auto"/>
        <w:ind w:left="720"/>
        <w:rPr>
          <w:rFonts w:ascii="Times New Roman" w:eastAsia="Times New Roman" w:hAnsi="Times New Roman" w:cs="Times New Roman"/>
          <w:sz w:val="24"/>
          <w:szCs w:val="24"/>
          <w:lang w:eastAsia="en-GB"/>
        </w:rPr>
      </w:pPr>
      <w:r w:rsidRPr="007156C1">
        <w:rPr>
          <w:rFonts w:ascii="Times New Roman" w:eastAsia="Times New Roman" w:hAnsi="Times New Roman" w:cs="Times New Roman"/>
          <w:sz w:val="24"/>
          <w:szCs w:val="24"/>
          <w:lang w:eastAsia="en-GB"/>
        </w:rPr>
        <w:t>As stated last time, we don’t advocate initiating positions with overhead resistance just above which is still the case here. Also, we need to keep a close eye on the wave equality projection as a push beneath would open the door to see an impulsive movement down toward the low of wave-C just above $7.00. However, signs of strength at those lower levels would present a very good buying opportunity, obviously several months down the track. For now, we’ll continue to stand aside until the smaller degree patterns regain clarity.</w:t>
      </w:r>
    </w:p>
    <w:p w:rsidR="002D2FC2" w:rsidRDefault="002D2FC2"/>
    <w:sectPr w:rsidR="002D2FC2" w:rsidSect="002D2FC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DisplayPageBoundaries/>
  <w:proofState w:spelling="clean" w:grammar="clean"/>
  <w:defaultTabStop w:val="720"/>
  <w:characterSpacingControl w:val="doNotCompress"/>
  <w:compat/>
  <w:rsids>
    <w:rsidRoot w:val="007156C1"/>
    <w:rsid w:val="002D2FC2"/>
    <w:rsid w:val="007156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F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56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156C1"/>
    <w:rPr>
      <w:color w:val="0000FF"/>
      <w:u w:val="single"/>
    </w:rPr>
  </w:style>
  <w:style w:type="paragraph" w:styleId="BalloonText">
    <w:name w:val="Balloon Text"/>
    <w:basedOn w:val="Normal"/>
    <w:link w:val="BalloonTextChar"/>
    <w:uiPriority w:val="99"/>
    <w:semiHidden/>
    <w:unhideWhenUsed/>
    <w:rsid w:val="007156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6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6729963">
      <w:bodyDiv w:val="1"/>
      <w:marLeft w:val="0"/>
      <w:marRight w:val="0"/>
      <w:marTop w:val="0"/>
      <w:marBottom w:val="0"/>
      <w:divBdr>
        <w:top w:val="none" w:sz="0" w:space="0" w:color="auto"/>
        <w:left w:val="none" w:sz="0" w:space="0" w:color="auto"/>
        <w:bottom w:val="none" w:sz="0" w:space="0" w:color="auto"/>
        <w:right w:val="none" w:sz="0" w:space="0" w:color="auto"/>
      </w:divBdr>
      <w:divsChild>
        <w:div w:id="1846551242">
          <w:marLeft w:val="0"/>
          <w:marRight w:val="0"/>
          <w:marTop w:val="0"/>
          <w:marBottom w:val="0"/>
          <w:divBdr>
            <w:top w:val="none" w:sz="0" w:space="0" w:color="auto"/>
            <w:left w:val="none" w:sz="0" w:space="0" w:color="auto"/>
            <w:bottom w:val="none" w:sz="0" w:space="0" w:color="auto"/>
            <w:right w:val="none" w:sz="0" w:space="0" w:color="auto"/>
          </w:divBdr>
        </w:div>
        <w:div w:id="1020744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dFt2CgSw"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3167</Characters>
  <Application>Microsoft Office Word</Application>
  <DocSecurity>0</DocSecurity>
  <Lines>26</Lines>
  <Paragraphs>7</Paragraphs>
  <ScaleCrop>false</ScaleCrop>
  <Company/>
  <LinksUpToDate>false</LinksUpToDate>
  <CharactersWithSpaces>3715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Nick</cp:lastModifiedBy>
  <cp:revision>1</cp:revision>
  <dcterms:created xsi:type="dcterms:W3CDTF">2017-08-11T03:44:00Z</dcterms:created>
  <dcterms:modified xsi:type="dcterms:W3CDTF">2017-08-11T03:44:00Z</dcterms:modified>
</cp:coreProperties>
</file>