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5341A6">
      <w:r>
        <w:rPr>
          <w:noProof/>
        </w:rPr>
        <w:drawing>
          <wp:inline distT="0" distB="0" distL="0" distR="0" wp14:anchorId="6BC39444" wp14:editId="4396553F">
            <wp:extent cx="5943600" cy="4930987"/>
            <wp:effectExtent l="0" t="0" r="0" b="3175"/>
            <wp:docPr id="3" name="Picture 3" desc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5341A6" w:rsidRDefault="005341A6"/>
    <w:p w:rsidR="005341A6" w:rsidRPr="005341A6" w:rsidRDefault="005341A6" w:rsidP="005341A6">
      <w:pPr>
        <w:spacing w:after="0" w:line="240" w:lineRule="auto"/>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Bottom Line </w:t>
      </w:r>
    </w:p>
    <w:p w:rsidR="005341A6" w:rsidRPr="005341A6" w:rsidRDefault="005341A6" w:rsidP="005341A6">
      <w:pPr>
        <w:spacing w:before="100" w:beforeAutospacing="1" w:after="100" w:afterAutospacing="1" w:line="240" w:lineRule="auto"/>
        <w:ind w:left="720"/>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10/10:</w:t>
      </w:r>
      <w:r w:rsidRPr="005341A6">
        <w:rPr>
          <w:rFonts w:ascii="Times New Roman" w:eastAsia="Times New Roman" w:hAnsi="Times New Roman" w:cs="Times New Roman"/>
          <w:sz w:val="24"/>
          <w:szCs w:val="24"/>
        </w:rPr>
        <w:br/>
      </w:r>
      <w:proofErr w:type="spellStart"/>
      <w:r w:rsidRPr="005341A6">
        <w:rPr>
          <w:rFonts w:ascii="Times New Roman" w:eastAsia="Times New Roman" w:hAnsi="Times New Roman" w:cs="Times New Roman"/>
          <w:sz w:val="24"/>
          <w:szCs w:val="24"/>
        </w:rPr>
        <w:t>DailyTrend</w:t>
      </w:r>
      <w:proofErr w:type="spellEnd"/>
      <w:r w:rsidRPr="005341A6">
        <w:rPr>
          <w:rFonts w:ascii="Times New Roman" w:eastAsia="Times New Roman" w:hAnsi="Times New Roman" w:cs="Times New Roman"/>
          <w:sz w:val="24"/>
          <w:szCs w:val="24"/>
        </w:rPr>
        <w:t xml:space="preserve">: </w:t>
      </w:r>
      <w:r w:rsidRPr="005341A6">
        <w:rPr>
          <w:rFonts w:ascii="Times New Roman" w:eastAsia="Times New Roman" w:hAnsi="Times New Roman" w:cs="Times New Roman"/>
          <w:color w:val="00FF00"/>
          <w:sz w:val="24"/>
          <w:szCs w:val="24"/>
        </w:rPr>
        <w:t>Up</w:t>
      </w:r>
      <w:r w:rsidRPr="005341A6">
        <w:rPr>
          <w:rFonts w:ascii="Times New Roman" w:eastAsia="Times New Roman" w:hAnsi="Times New Roman" w:cs="Times New Roman"/>
          <w:sz w:val="24"/>
          <w:szCs w:val="24"/>
        </w:rPr>
        <w:br/>
      </w:r>
      <w:proofErr w:type="spellStart"/>
      <w:r w:rsidRPr="005341A6">
        <w:rPr>
          <w:rFonts w:ascii="Times New Roman" w:eastAsia="Times New Roman" w:hAnsi="Times New Roman" w:cs="Times New Roman"/>
          <w:sz w:val="24"/>
          <w:szCs w:val="24"/>
        </w:rPr>
        <w:t>WeeklyTrend</w:t>
      </w:r>
      <w:proofErr w:type="spellEnd"/>
      <w:r w:rsidRPr="005341A6">
        <w:rPr>
          <w:rFonts w:ascii="Times New Roman" w:eastAsia="Times New Roman" w:hAnsi="Times New Roman" w:cs="Times New Roman"/>
          <w:sz w:val="24"/>
          <w:szCs w:val="24"/>
        </w:rPr>
        <w:t xml:space="preserve">: </w:t>
      </w:r>
      <w:r w:rsidRPr="005341A6">
        <w:rPr>
          <w:rFonts w:ascii="Times New Roman" w:eastAsia="Times New Roman" w:hAnsi="Times New Roman" w:cs="Times New Roman"/>
          <w:color w:val="00FF00"/>
          <w:sz w:val="24"/>
          <w:szCs w:val="24"/>
        </w:rPr>
        <w:t>Up</w:t>
      </w:r>
      <w:r w:rsidRPr="005341A6">
        <w:rPr>
          <w:rFonts w:ascii="Times New Roman" w:eastAsia="Times New Roman" w:hAnsi="Times New Roman" w:cs="Times New Roman"/>
          <w:sz w:val="24"/>
          <w:szCs w:val="24"/>
        </w:rPr>
        <w:br/>
        <w:t xml:space="preserve">Monthly Trend: </w:t>
      </w:r>
      <w:r w:rsidRPr="005341A6">
        <w:rPr>
          <w:rFonts w:ascii="Times New Roman" w:eastAsia="Times New Roman" w:hAnsi="Times New Roman" w:cs="Times New Roman"/>
          <w:color w:val="00FF00"/>
          <w:sz w:val="24"/>
          <w:szCs w:val="24"/>
        </w:rPr>
        <w:t>Up</w:t>
      </w:r>
      <w:r w:rsidRPr="005341A6">
        <w:rPr>
          <w:rFonts w:ascii="Times New Roman" w:eastAsia="Times New Roman" w:hAnsi="Times New Roman" w:cs="Times New Roman"/>
          <w:sz w:val="24"/>
          <w:szCs w:val="24"/>
        </w:rPr>
        <w:br/>
        <w:t xml:space="preserve">Support levels: $19.92 - $19.61 / $18.65 - $17.39 </w:t>
      </w:r>
      <w:r w:rsidRPr="005341A6">
        <w:rPr>
          <w:rFonts w:ascii="Times New Roman" w:eastAsia="Times New Roman" w:hAnsi="Times New Roman" w:cs="Times New Roman"/>
          <w:sz w:val="24"/>
          <w:szCs w:val="24"/>
        </w:rPr>
        <w:br/>
        <w:t>Resistance Levels: $23.98</w:t>
      </w:r>
    </w:p>
    <w:p w:rsidR="005341A6" w:rsidRPr="005341A6" w:rsidRDefault="005341A6" w:rsidP="005341A6">
      <w:pPr>
        <w:spacing w:after="0" w:line="240" w:lineRule="auto"/>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Video Analysis </w:t>
      </w:r>
    </w:p>
    <w:p w:rsidR="005341A6" w:rsidRPr="005341A6" w:rsidRDefault="005341A6" w:rsidP="005341A6">
      <w:pPr>
        <w:spacing w:after="0" w:line="240" w:lineRule="auto"/>
        <w:ind w:left="720"/>
        <w:rPr>
          <w:rFonts w:ascii="Times New Roman" w:eastAsia="Times New Roman" w:hAnsi="Times New Roman" w:cs="Times New Roman"/>
          <w:sz w:val="24"/>
          <w:szCs w:val="24"/>
        </w:rPr>
      </w:pPr>
      <w:hyperlink r:id="rId5" w:tgtFrame="_blank" w:history="1">
        <w:r w:rsidRPr="005341A6">
          <w:rPr>
            <w:rFonts w:ascii="Times New Roman" w:eastAsia="Times New Roman" w:hAnsi="Times New Roman" w:cs="Times New Roman"/>
            <w:color w:val="0000FF"/>
            <w:sz w:val="24"/>
            <w:szCs w:val="24"/>
            <w:u w:val="single"/>
          </w:rPr>
          <w:t xml:space="preserve">Watch Video Analysis Here </w:t>
        </w:r>
      </w:hyperlink>
    </w:p>
    <w:p w:rsidR="005341A6" w:rsidRPr="005341A6" w:rsidRDefault="005341A6" w:rsidP="005341A6">
      <w:pPr>
        <w:spacing w:after="0" w:line="240" w:lineRule="auto"/>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Technical Discussion </w:t>
      </w:r>
    </w:p>
    <w:p w:rsidR="005341A6" w:rsidRPr="005341A6" w:rsidRDefault="005341A6" w:rsidP="005341A6">
      <w:pPr>
        <w:spacing w:before="100" w:beforeAutospacing="1" w:after="100" w:afterAutospacing="1" w:line="240" w:lineRule="auto"/>
        <w:ind w:left="720"/>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Aristocrat Leisure (ALL) provides gaming solutions. The Company's main activities include design, development and distribution of gaming content, platforms and systems. The Company's sections include The Americas, Australia and New Zealand, Digital, and </w:t>
      </w:r>
      <w:r w:rsidRPr="005341A6">
        <w:rPr>
          <w:rFonts w:ascii="Times New Roman" w:eastAsia="Times New Roman" w:hAnsi="Times New Roman" w:cs="Times New Roman"/>
          <w:sz w:val="24"/>
          <w:szCs w:val="24"/>
        </w:rPr>
        <w:lastRenderedPageBreak/>
        <w:t>International Class III. The Company offers a range of products and services, including electronic gaming machines and casino management systems. The Company also operates within the online social gaming and real money wager markets. Through Video Gaming Technologies, Inc. (VGT), it develops, manufactures and distributes casino games for the Class II and emerging markets. It offers Oasis 360, which is a casino management system and contains a portfolio of open-platform technologies. It also offers System 7000 casino management system. For the six months ending the 31st of March 2017 revenues increased 21% to A$1.23B. Net income increased 57% to A$249.6M. Revenues reflect the America section increase of 18% to A$715.8M and the International Class III section increase from A$60.7M to A$129.2M. Broker consensus is “buy”. The dividend yield is 1.2%.</w:t>
      </w:r>
    </w:p>
    <w:p w:rsidR="005341A6" w:rsidRPr="005341A6" w:rsidRDefault="005341A6" w:rsidP="005341A6">
      <w:pPr>
        <w:spacing w:before="100" w:beforeAutospacing="1" w:after="100" w:afterAutospacing="1" w:line="240" w:lineRule="auto"/>
        <w:ind w:left="720"/>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Reasons to remain bullish:</w:t>
      </w:r>
      <w:r w:rsidRPr="005341A6">
        <w:rPr>
          <w:rFonts w:ascii="Times New Roman" w:eastAsia="Times New Roman" w:hAnsi="Times New Roman" w:cs="Times New Roman"/>
          <w:sz w:val="24"/>
          <w:szCs w:val="24"/>
        </w:rPr>
        <w:br/>
        <w:t>→ Growth in high-quality recurring earnings.</w:t>
      </w:r>
      <w:r w:rsidRPr="005341A6">
        <w:rPr>
          <w:rFonts w:ascii="Times New Roman" w:eastAsia="Times New Roman" w:hAnsi="Times New Roman" w:cs="Times New Roman"/>
          <w:sz w:val="24"/>
          <w:szCs w:val="24"/>
        </w:rPr>
        <w:br/>
        <w:t>→ Significantly improve cash flow.</w:t>
      </w:r>
      <w:r w:rsidRPr="005341A6">
        <w:rPr>
          <w:rFonts w:ascii="Times New Roman" w:eastAsia="Times New Roman" w:hAnsi="Times New Roman" w:cs="Times New Roman"/>
          <w:sz w:val="24"/>
          <w:szCs w:val="24"/>
        </w:rPr>
        <w:br/>
        <w:t>→ Share in the North American gaming operations.</w:t>
      </w:r>
      <w:r w:rsidRPr="005341A6">
        <w:rPr>
          <w:rFonts w:ascii="Times New Roman" w:eastAsia="Times New Roman" w:hAnsi="Times New Roman" w:cs="Times New Roman"/>
          <w:sz w:val="24"/>
          <w:szCs w:val="24"/>
        </w:rPr>
        <w:br/>
        <w:t>→ Diversification due to the acquisition of Plarium.</w:t>
      </w:r>
      <w:r w:rsidRPr="005341A6">
        <w:rPr>
          <w:rFonts w:ascii="Times New Roman" w:eastAsia="Times New Roman" w:hAnsi="Times New Roman" w:cs="Times New Roman"/>
          <w:sz w:val="24"/>
          <w:szCs w:val="24"/>
        </w:rPr>
        <w:br/>
        <w:t>→ Lightning links has underpinned FY17 earnings with Dragon link looking positive into FY18.</w:t>
      </w:r>
      <w:r w:rsidRPr="005341A6">
        <w:rPr>
          <w:rFonts w:ascii="Times New Roman" w:eastAsia="Times New Roman" w:hAnsi="Times New Roman" w:cs="Times New Roman"/>
          <w:sz w:val="24"/>
          <w:szCs w:val="24"/>
        </w:rPr>
        <w:br/>
        <w:t>→ Plenty of products in the pipeline to drive growth until 2022.</w:t>
      </w:r>
      <w:r w:rsidRPr="005341A6">
        <w:rPr>
          <w:rFonts w:ascii="Times New Roman" w:eastAsia="Times New Roman" w:hAnsi="Times New Roman" w:cs="Times New Roman"/>
          <w:sz w:val="24"/>
          <w:szCs w:val="24"/>
        </w:rPr>
        <w:br/>
        <w:t>→ Improvement in the US economy likely to drive earnings.</w:t>
      </w:r>
      <w:r w:rsidRPr="005341A6">
        <w:rPr>
          <w:rFonts w:ascii="Times New Roman" w:eastAsia="Times New Roman" w:hAnsi="Times New Roman" w:cs="Times New Roman"/>
          <w:sz w:val="24"/>
          <w:szCs w:val="24"/>
        </w:rPr>
        <w:br/>
        <w:t>→ Exceptional trend behind it although the current retracement should have further to travel.</w:t>
      </w:r>
    </w:p>
    <w:p w:rsidR="005341A6" w:rsidRPr="005341A6" w:rsidRDefault="005341A6" w:rsidP="005341A6">
      <w:pPr>
        <w:spacing w:before="100" w:beforeAutospacing="1" w:after="100" w:afterAutospacing="1" w:line="240" w:lineRule="auto"/>
        <w:ind w:left="720"/>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Aristocrat Leisure is an exceptionally strong trending stock which is what drew us to the company a couple of months ago when we initiated coverage. However, a decent retracement was witnessed in late June this year which was the first of its kind for a significant </w:t>
      </w:r>
      <w:proofErr w:type="gramStart"/>
      <w:r w:rsidRPr="005341A6">
        <w:rPr>
          <w:rFonts w:ascii="Times New Roman" w:eastAsia="Times New Roman" w:hAnsi="Times New Roman" w:cs="Times New Roman"/>
          <w:sz w:val="24"/>
          <w:szCs w:val="24"/>
        </w:rPr>
        <w:t>period of time</w:t>
      </w:r>
      <w:proofErr w:type="gramEnd"/>
      <w:r w:rsidRPr="005341A6">
        <w:rPr>
          <w:rFonts w:ascii="Times New Roman" w:eastAsia="Times New Roman" w:hAnsi="Times New Roman" w:cs="Times New Roman"/>
          <w:sz w:val="24"/>
          <w:szCs w:val="24"/>
        </w:rPr>
        <w:t xml:space="preserve">. This isn’t major reason for concern although during our last review the door was open to head down to the typical retracement zone either side of $18.00. Although this is still feasible, the rally over the past couple of weeks or so is now suggesting a shallower corrective pattern is likely going to be the way forward. Not that we are looking for all-time highs to be overcome at the first attempt though it’s more than feasible to test those higher levels circa $24.00 before another bout of weakness takes hold. Price is currently hovering around a minor line of resistance with a close above </w:t>
      </w:r>
      <w:proofErr w:type="spellStart"/>
      <w:r w:rsidRPr="005341A6">
        <w:rPr>
          <w:rFonts w:ascii="Times New Roman" w:eastAsia="Times New Roman" w:hAnsi="Times New Roman" w:cs="Times New Roman"/>
          <w:sz w:val="24"/>
          <w:szCs w:val="24"/>
        </w:rPr>
        <w:t>todays</w:t>
      </w:r>
      <w:proofErr w:type="spellEnd"/>
      <w:r w:rsidRPr="005341A6">
        <w:rPr>
          <w:rFonts w:ascii="Times New Roman" w:eastAsia="Times New Roman" w:hAnsi="Times New Roman" w:cs="Times New Roman"/>
          <w:sz w:val="24"/>
          <w:szCs w:val="24"/>
        </w:rPr>
        <w:t xml:space="preserve"> high providing confirmation that price will likely continue up toward those June highs. Rejection at those higher levels would likely result in a flat pattern unfolding which will take price back down toward the recent pivot low at $19.61. That’s looking way into the future, so </w:t>
      </w:r>
      <w:proofErr w:type="gramStart"/>
      <w:r w:rsidRPr="005341A6">
        <w:rPr>
          <w:rFonts w:ascii="Times New Roman" w:eastAsia="Times New Roman" w:hAnsi="Times New Roman" w:cs="Times New Roman"/>
          <w:sz w:val="24"/>
          <w:szCs w:val="24"/>
        </w:rPr>
        <w:t>first of all</w:t>
      </w:r>
      <w:proofErr w:type="gramEnd"/>
      <w:r w:rsidRPr="005341A6">
        <w:rPr>
          <w:rFonts w:ascii="Times New Roman" w:eastAsia="Times New Roman" w:hAnsi="Times New Roman" w:cs="Times New Roman"/>
          <w:sz w:val="24"/>
          <w:szCs w:val="24"/>
        </w:rPr>
        <w:t xml:space="preserve"> let’s see if the minor line of resistance can be overcome in a move that sticks as this would suggest a multi-week trend is underway. We noted in our review of MQG yesterday that trying to project high probability reversal points in exceptionally strong trending stocks is a difficult feat - and trends don’t come much stronger this. As such, we’ll have to reassess the patterns on a regular basis as a sudden resumption to strong impulsive price action will result in us reviewing the patterns. For </w:t>
      </w:r>
      <w:proofErr w:type="gramStart"/>
      <w:r w:rsidRPr="005341A6">
        <w:rPr>
          <w:rFonts w:ascii="Times New Roman" w:eastAsia="Times New Roman" w:hAnsi="Times New Roman" w:cs="Times New Roman"/>
          <w:sz w:val="24"/>
          <w:szCs w:val="24"/>
        </w:rPr>
        <w:t>now</w:t>
      </w:r>
      <w:proofErr w:type="gramEnd"/>
      <w:r w:rsidRPr="005341A6">
        <w:rPr>
          <w:rFonts w:ascii="Times New Roman" w:eastAsia="Times New Roman" w:hAnsi="Times New Roman" w:cs="Times New Roman"/>
          <w:sz w:val="24"/>
          <w:szCs w:val="24"/>
        </w:rPr>
        <w:t xml:space="preserve"> though, short-term strength is likely to be followed by a multi-week leg lower.</w:t>
      </w:r>
    </w:p>
    <w:p w:rsidR="005341A6" w:rsidRPr="005341A6" w:rsidRDefault="005341A6" w:rsidP="005341A6">
      <w:pPr>
        <w:spacing w:after="0" w:line="240" w:lineRule="auto"/>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t xml:space="preserve">Trading Strategy </w:t>
      </w:r>
    </w:p>
    <w:p w:rsidR="005341A6" w:rsidRPr="005341A6" w:rsidRDefault="005341A6" w:rsidP="005341A6">
      <w:pPr>
        <w:spacing w:before="100" w:beforeAutospacing="1" w:after="100" w:afterAutospacing="1" w:line="240" w:lineRule="auto"/>
        <w:ind w:left="720"/>
        <w:rPr>
          <w:rFonts w:ascii="Times New Roman" w:eastAsia="Times New Roman" w:hAnsi="Times New Roman" w:cs="Times New Roman"/>
          <w:sz w:val="24"/>
          <w:szCs w:val="24"/>
        </w:rPr>
      </w:pPr>
      <w:r w:rsidRPr="005341A6">
        <w:rPr>
          <w:rFonts w:ascii="Times New Roman" w:eastAsia="Times New Roman" w:hAnsi="Times New Roman" w:cs="Times New Roman"/>
          <w:sz w:val="24"/>
          <w:szCs w:val="24"/>
        </w:rPr>
        <w:lastRenderedPageBreak/>
        <w:t xml:space="preserve">If you’re a short-term trader you could initiate long positions following a close above </w:t>
      </w:r>
      <w:proofErr w:type="spellStart"/>
      <w:r w:rsidRPr="005341A6">
        <w:rPr>
          <w:rFonts w:ascii="Times New Roman" w:eastAsia="Times New Roman" w:hAnsi="Times New Roman" w:cs="Times New Roman"/>
          <w:sz w:val="24"/>
          <w:szCs w:val="24"/>
        </w:rPr>
        <w:t>todays</w:t>
      </w:r>
      <w:proofErr w:type="spellEnd"/>
      <w:r w:rsidRPr="005341A6">
        <w:rPr>
          <w:rFonts w:ascii="Times New Roman" w:eastAsia="Times New Roman" w:hAnsi="Times New Roman" w:cs="Times New Roman"/>
          <w:sz w:val="24"/>
          <w:szCs w:val="24"/>
        </w:rPr>
        <w:t xml:space="preserve"> high at $22.08 with the initial stop placed beneath Fridays low at $20.97. Look to take profits up around all-time highs just beneath $24.00 or at least tighten the trailing stop at those higher levels if you want to allow the trade room to run. If you are a longer-term trader or investor waiting for the bigger buying </w:t>
      </w:r>
      <w:proofErr w:type="gramStart"/>
      <w:r w:rsidRPr="005341A6">
        <w:rPr>
          <w:rFonts w:ascii="Times New Roman" w:eastAsia="Times New Roman" w:hAnsi="Times New Roman" w:cs="Times New Roman"/>
          <w:sz w:val="24"/>
          <w:szCs w:val="24"/>
        </w:rPr>
        <w:t>opportunity</w:t>
      </w:r>
      <w:proofErr w:type="gramEnd"/>
      <w:r w:rsidRPr="005341A6">
        <w:rPr>
          <w:rFonts w:ascii="Times New Roman" w:eastAsia="Times New Roman" w:hAnsi="Times New Roman" w:cs="Times New Roman"/>
          <w:sz w:val="24"/>
          <w:szCs w:val="24"/>
        </w:rPr>
        <w:t xml:space="preserve"> then more patience is required.</w:t>
      </w:r>
    </w:p>
    <w:p w:rsidR="005341A6" w:rsidRDefault="005341A6">
      <w:bookmarkStart w:id="0" w:name="_GoBack"/>
      <w:bookmarkEnd w:id="0"/>
    </w:p>
    <w:sectPr w:rsidR="0053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694299-101C-4E92-B5CC-EF0EABAB2613}"/>
    <w:docVar w:name="dgnword-eventsink" w:val="491472504"/>
  </w:docVars>
  <w:rsids>
    <w:rsidRoot w:val="005341A6"/>
    <w:rsid w:val="00112E1F"/>
    <w:rsid w:val="001A14F1"/>
    <w:rsid w:val="00235438"/>
    <w:rsid w:val="003B7908"/>
    <w:rsid w:val="004E3CB9"/>
    <w:rsid w:val="005341A6"/>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173A"/>
  <w15:chartTrackingRefBased/>
  <w15:docId w15:val="{BAA01CE6-D1CE-4310-9EAD-A71C57C8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BK2wyhT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2017-11-16T02:39:00Z</dcterms:created>
  <dcterms:modified xsi:type="dcterms:W3CDTF">2017-11-16T02:40:00Z</dcterms:modified>
</cp:coreProperties>
</file>