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7A3A4A">
      <w:r>
        <w:rPr>
          <w:noProof/>
          <w:lang w:eastAsia="en-NZ"/>
        </w:rPr>
        <w:drawing>
          <wp:inline distT="0" distB="0" distL="0" distR="0" wp14:anchorId="1415C82D" wp14:editId="0FCB305D">
            <wp:extent cx="5274310" cy="4375724"/>
            <wp:effectExtent l="0" t="0" r="2540" b="6350"/>
            <wp:docPr id="1" name="Picture 1" descr="P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5724"/>
                    </a:xfrm>
                    <a:prstGeom prst="rect">
                      <a:avLst/>
                    </a:prstGeom>
                    <a:noFill/>
                    <a:ln>
                      <a:noFill/>
                    </a:ln>
                  </pic:spPr>
                </pic:pic>
              </a:graphicData>
            </a:graphic>
          </wp:inline>
        </w:drawing>
      </w:r>
    </w:p>
    <w:p w:rsidR="007A3A4A" w:rsidRDefault="007A3A4A"/>
    <w:p w:rsidR="007A3A4A" w:rsidRPr="007A3A4A" w:rsidRDefault="007A3A4A" w:rsidP="007A3A4A">
      <w:pPr>
        <w:rPr>
          <w:rFonts w:eastAsia="Times New Roman"/>
          <w:lang w:eastAsia="en-NZ"/>
        </w:rPr>
      </w:pPr>
      <w:r w:rsidRPr="007A3A4A">
        <w:rPr>
          <w:rFonts w:eastAsia="Times New Roman"/>
          <w:lang w:eastAsia="en-NZ"/>
        </w:rPr>
        <w:t xml:space="preserve">Bottom Line </w:t>
      </w:r>
    </w:p>
    <w:p w:rsidR="007A3A4A" w:rsidRPr="007A3A4A" w:rsidRDefault="007A3A4A" w:rsidP="007A3A4A">
      <w:pPr>
        <w:spacing w:before="100" w:beforeAutospacing="1" w:after="100" w:afterAutospacing="1"/>
        <w:ind w:left="720"/>
        <w:rPr>
          <w:rFonts w:eastAsia="Times New Roman"/>
          <w:lang w:eastAsia="en-NZ"/>
        </w:rPr>
      </w:pPr>
      <w:r w:rsidRPr="007A3A4A">
        <w:rPr>
          <w:rFonts w:eastAsia="Times New Roman"/>
          <w:lang w:eastAsia="en-NZ"/>
        </w:rPr>
        <w:t>6/3</w:t>
      </w:r>
      <w:proofErr w:type="gramStart"/>
      <w:r w:rsidRPr="007A3A4A">
        <w:rPr>
          <w:rFonts w:eastAsia="Times New Roman"/>
          <w:lang w:eastAsia="en-NZ"/>
        </w:rPr>
        <w:t>:</w:t>
      </w:r>
      <w:proofErr w:type="gramEnd"/>
      <w:r w:rsidRPr="007A3A4A">
        <w:rPr>
          <w:rFonts w:eastAsia="Times New Roman"/>
          <w:lang w:eastAsia="en-NZ"/>
        </w:rPr>
        <w:br/>
        <w:t xml:space="preserve">Daily Trend: </w:t>
      </w:r>
      <w:r w:rsidRPr="007A3A4A">
        <w:rPr>
          <w:rFonts w:eastAsia="Times New Roman"/>
          <w:color w:val="0000FF"/>
          <w:lang w:eastAsia="en-NZ"/>
        </w:rPr>
        <w:t>Neutral</w:t>
      </w:r>
      <w:r w:rsidRPr="007A3A4A">
        <w:rPr>
          <w:rFonts w:eastAsia="Times New Roman"/>
          <w:lang w:eastAsia="en-NZ"/>
        </w:rPr>
        <w:br/>
        <w:t xml:space="preserve">Weekly Trend: </w:t>
      </w:r>
      <w:r w:rsidRPr="007A3A4A">
        <w:rPr>
          <w:rFonts w:eastAsia="Times New Roman"/>
          <w:color w:val="0000FF"/>
          <w:lang w:eastAsia="en-NZ"/>
        </w:rPr>
        <w:t>Neutral</w:t>
      </w:r>
      <w:r w:rsidRPr="007A3A4A">
        <w:rPr>
          <w:rFonts w:eastAsia="Times New Roman"/>
          <w:lang w:eastAsia="en-NZ"/>
        </w:rPr>
        <w:br/>
        <w:t xml:space="preserve">Monthly Trend: </w:t>
      </w:r>
      <w:r w:rsidRPr="007A3A4A">
        <w:rPr>
          <w:rFonts w:eastAsia="Times New Roman"/>
          <w:color w:val="0000FF"/>
          <w:lang w:eastAsia="en-NZ"/>
        </w:rPr>
        <w:t>Neutral</w:t>
      </w:r>
      <w:r w:rsidRPr="007A3A4A">
        <w:rPr>
          <w:rFonts w:eastAsia="Times New Roman"/>
          <w:lang w:eastAsia="en-NZ"/>
        </w:rPr>
        <w:br/>
        <w:t>Support levels: $0.33 / $0.275</w:t>
      </w:r>
      <w:r w:rsidRPr="007A3A4A">
        <w:rPr>
          <w:rFonts w:eastAsia="Times New Roman"/>
          <w:lang w:eastAsia="en-NZ"/>
        </w:rPr>
        <w:br/>
        <w:t>Resistance levels: $0.41 / $0.545 / $0.915</w:t>
      </w:r>
      <w:r w:rsidRPr="007A3A4A">
        <w:rPr>
          <w:rFonts w:eastAsia="Times New Roman"/>
          <w:lang w:eastAsia="en-NZ"/>
        </w:rPr>
        <w:br/>
      </w:r>
    </w:p>
    <w:p w:rsidR="007A3A4A" w:rsidRPr="007A3A4A" w:rsidRDefault="007A3A4A" w:rsidP="007A3A4A">
      <w:pPr>
        <w:rPr>
          <w:rFonts w:eastAsia="Times New Roman"/>
          <w:lang w:eastAsia="en-NZ"/>
        </w:rPr>
      </w:pPr>
      <w:r w:rsidRPr="007A3A4A">
        <w:rPr>
          <w:rFonts w:eastAsia="Times New Roman"/>
          <w:lang w:eastAsia="en-NZ"/>
        </w:rPr>
        <w:t xml:space="preserve">Video Analysis </w:t>
      </w:r>
    </w:p>
    <w:p w:rsidR="007A3A4A" w:rsidRPr="007A3A4A" w:rsidRDefault="007A3A4A" w:rsidP="007A3A4A">
      <w:pPr>
        <w:ind w:left="720"/>
        <w:rPr>
          <w:rFonts w:eastAsia="Times New Roman"/>
          <w:lang w:eastAsia="en-NZ"/>
        </w:rPr>
      </w:pPr>
      <w:hyperlink r:id="rId5" w:tgtFrame="_blank" w:history="1">
        <w:r w:rsidRPr="007A3A4A">
          <w:rPr>
            <w:rFonts w:eastAsia="Times New Roman"/>
            <w:color w:val="0000FF"/>
            <w:u w:val="single"/>
            <w:lang w:eastAsia="en-NZ"/>
          </w:rPr>
          <w:t xml:space="preserve">Watch Video Analysis Here </w:t>
        </w:r>
      </w:hyperlink>
    </w:p>
    <w:p w:rsidR="007A3A4A" w:rsidRPr="007A3A4A" w:rsidRDefault="007A3A4A" w:rsidP="007A3A4A">
      <w:pPr>
        <w:rPr>
          <w:rFonts w:eastAsia="Times New Roman"/>
          <w:lang w:eastAsia="en-NZ"/>
        </w:rPr>
      </w:pPr>
      <w:r w:rsidRPr="007A3A4A">
        <w:rPr>
          <w:rFonts w:eastAsia="Times New Roman"/>
          <w:lang w:eastAsia="en-NZ"/>
        </w:rPr>
        <w:t xml:space="preserve">Technical Discussion </w:t>
      </w:r>
    </w:p>
    <w:p w:rsidR="007A3A4A" w:rsidRPr="007A3A4A" w:rsidRDefault="007A3A4A" w:rsidP="007A3A4A">
      <w:pPr>
        <w:spacing w:before="100" w:beforeAutospacing="1" w:after="100" w:afterAutospacing="1"/>
        <w:ind w:left="720"/>
        <w:rPr>
          <w:rFonts w:eastAsia="Times New Roman"/>
          <w:lang w:eastAsia="en-NZ"/>
        </w:rPr>
      </w:pPr>
      <w:r w:rsidRPr="007A3A4A">
        <w:rPr>
          <w:rFonts w:eastAsia="Times New Roman"/>
          <w:lang w:eastAsia="en-NZ"/>
        </w:rPr>
        <w:t xml:space="preserve">Perseus Mining is a Gold &amp; Silver explorer which went on to become a producer in early 2012.  It operates in the republics of Ghana and Cote d’Ivoire in West Africa.  The </w:t>
      </w:r>
      <w:proofErr w:type="spellStart"/>
      <w:r w:rsidRPr="007A3A4A">
        <w:rPr>
          <w:rFonts w:eastAsia="Times New Roman"/>
          <w:lang w:eastAsia="en-NZ"/>
        </w:rPr>
        <w:t>Sissingue</w:t>
      </w:r>
      <w:proofErr w:type="spellEnd"/>
      <w:r w:rsidRPr="007A3A4A">
        <w:rPr>
          <w:rFonts w:eastAsia="Times New Roman"/>
          <w:lang w:eastAsia="en-NZ"/>
        </w:rPr>
        <w:t xml:space="preserve"> Gold project is located within an 885 square kilometre land package consisting of the </w:t>
      </w:r>
      <w:proofErr w:type="spellStart"/>
      <w:r w:rsidRPr="007A3A4A">
        <w:rPr>
          <w:rFonts w:eastAsia="Times New Roman"/>
          <w:lang w:eastAsia="en-NZ"/>
        </w:rPr>
        <w:t>Sissingue</w:t>
      </w:r>
      <w:proofErr w:type="spellEnd"/>
      <w:r w:rsidRPr="007A3A4A">
        <w:rPr>
          <w:rFonts w:eastAsia="Times New Roman"/>
          <w:lang w:eastAsia="en-NZ"/>
        </w:rPr>
        <w:t xml:space="preserve"> exploitation permit area and the adjoining </w:t>
      </w:r>
      <w:proofErr w:type="spellStart"/>
      <w:r w:rsidRPr="007A3A4A">
        <w:rPr>
          <w:rFonts w:eastAsia="Times New Roman"/>
          <w:lang w:eastAsia="en-NZ"/>
        </w:rPr>
        <w:t>Tengrela</w:t>
      </w:r>
      <w:proofErr w:type="spellEnd"/>
      <w:r w:rsidRPr="007A3A4A">
        <w:rPr>
          <w:rFonts w:eastAsia="Times New Roman"/>
          <w:lang w:eastAsia="en-NZ"/>
        </w:rPr>
        <w:t xml:space="preserve"> south exploration permit area.  Together they are known as the </w:t>
      </w:r>
      <w:proofErr w:type="spellStart"/>
      <w:r w:rsidRPr="007A3A4A">
        <w:rPr>
          <w:rFonts w:eastAsia="Times New Roman"/>
          <w:lang w:eastAsia="en-NZ"/>
        </w:rPr>
        <w:t>Tengrela</w:t>
      </w:r>
      <w:proofErr w:type="spellEnd"/>
      <w:r w:rsidRPr="007A3A4A">
        <w:rPr>
          <w:rFonts w:eastAsia="Times New Roman"/>
          <w:lang w:eastAsia="en-NZ"/>
        </w:rPr>
        <w:t xml:space="preserve"> Gold project. Broker consensus is currently “Hold”. For the six months ending the 31st of December 2014 revenues increased 5% to </w:t>
      </w:r>
      <w:proofErr w:type="gramStart"/>
      <w:r w:rsidRPr="007A3A4A">
        <w:rPr>
          <w:rFonts w:eastAsia="Times New Roman"/>
          <w:lang w:eastAsia="en-NZ"/>
        </w:rPr>
        <w:t>A$</w:t>
      </w:r>
      <w:proofErr w:type="gramEnd"/>
      <w:r w:rsidRPr="007A3A4A">
        <w:rPr>
          <w:rFonts w:eastAsia="Times New Roman"/>
          <w:lang w:eastAsia="en-NZ"/>
        </w:rPr>
        <w:t xml:space="preserve">142.2M. Net income totalled </w:t>
      </w:r>
      <w:proofErr w:type="gramStart"/>
      <w:r w:rsidRPr="007A3A4A">
        <w:rPr>
          <w:rFonts w:eastAsia="Times New Roman"/>
          <w:lang w:eastAsia="en-NZ"/>
        </w:rPr>
        <w:t>A$</w:t>
      </w:r>
      <w:proofErr w:type="gramEnd"/>
      <w:r w:rsidRPr="007A3A4A">
        <w:rPr>
          <w:rFonts w:eastAsia="Times New Roman"/>
          <w:lang w:eastAsia="en-NZ"/>
        </w:rPr>
        <w:t xml:space="preserve">40.5M vs. loss of A$3.8M. Revenues reflect an Interest Revenue increase from </w:t>
      </w:r>
      <w:proofErr w:type="gramStart"/>
      <w:r w:rsidRPr="007A3A4A">
        <w:rPr>
          <w:rFonts w:eastAsia="Times New Roman"/>
          <w:lang w:eastAsia="en-NZ"/>
        </w:rPr>
        <w:t>A$</w:t>
      </w:r>
      <w:proofErr w:type="gramEnd"/>
      <w:r w:rsidRPr="007A3A4A">
        <w:rPr>
          <w:rFonts w:eastAsia="Times New Roman"/>
          <w:lang w:eastAsia="en-NZ"/>
        </w:rPr>
        <w:t>25K to A$313K</w:t>
      </w:r>
    </w:p>
    <w:p w:rsidR="007A3A4A" w:rsidRPr="007A3A4A" w:rsidRDefault="007A3A4A" w:rsidP="007A3A4A">
      <w:pPr>
        <w:spacing w:before="100" w:beforeAutospacing="1" w:after="100" w:afterAutospacing="1"/>
        <w:ind w:left="720"/>
        <w:rPr>
          <w:rFonts w:eastAsia="Times New Roman"/>
          <w:lang w:eastAsia="en-NZ"/>
        </w:rPr>
      </w:pPr>
      <w:r w:rsidRPr="007A3A4A">
        <w:rPr>
          <w:rFonts w:eastAsia="Times New Roman"/>
          <w:lang w:eastAsia="en-NZ"/>
        </w:rPr>
        <w:lastRenderedPageBreak/>
        <w:t>Reasons to be ready to buy</w:t>
      </w:r>
      <w:proofErr w:type="gramStart"/>
      <w:r w:rsidRPr="007A3A4A">
        <w:rPr>
          <w:rFonts w:eastAsia="Times New Roman"/>
          <w:lang w:eastAsia="en-NZ"/>
        </w:rPr>
        <w:t>:</w:t>
      </w:r>
      <w:proofErr w:type="gramEnd"/>
      <w:r w:rsidRPr="007A3A4A">
        <w:rPr>
          <w:rFonts w:eastAsia="Times New Roman"/>
          <w:lang w:eastAsia="en-NZ"/>
        </w:rPr>
        <w:br/>
        <w:t>→ Currency gains resulted in an improved first-half result.</w:t>
      </w:r>
      <w:r w:rsidRPr="007A3A4A">
        <w:rPr>
          <w:rFonts w:eastAsia="Times New Roman"/>
          <w:lang w:eastAsia="en-NZ"/>
        </w:rPr>
        <w:br/>
        <w:t xml:space="preserve">→ </w:t>
      </w:r>
      <w:proofErr w:type="gramStart"/>
      <w:r w:rsidRPr="007A3A4A">
        <w:rPr>
          <w:rFonts w:eastAsia="Times New Roman"/>
          <w:lang w:eastAsia="en-NZ"/>
        </w:rPr>
        <w:t>The</w:t>
      </w:r>
      <w:proofErr w:type="gramEnd"/>
      <w:r w:rsidRPr="007A3A4A">
        <w:rPr>
          <w:rFonts w:eastAsia="Times New Roman"/>
          <w:lang w:eastAsia="en-NZ"/>
        </w:rPr>
        <w:t xml:space="preserve"> balance sheet is healthy with no debt.</w:t>
      </w:r>
      <w:r w:rsidRPr="007A3A4A">
        <w:rPr>
          <w:rFonts w:eastAsia="Times New Roman"/>
          <w:lang w:eastAsia="en-NZ"/>
        </w:rPr>
        <w:br/>
        <w:t>→ Perseus continues to cut expenditure which is required for the company to keep profitable.</w:t>
      </w:r>
      <w:r w:rsidRPr="007A3A4A">
        <w:rPr>
          <w:rFonts w:eastAsia="Times New Roman"/>
          <w:lang w:eastAsia="en-NZ"/>
        </w:rPr>
        <w:br/>
        <w:t xml:space="preserve">→ </w:t>
      </w:r>
      <w:proofErr w:type="gramStart"/>
      <w:r w:rsidRPr="007A3A4A">
        <w:rPr>
          <w:rFonts w:eastAsia="Times New Roman"/>
          <w:lang w:eastAsia="en-NZ"/>
        </w:rPr>
        <w:t>A</w:t>
      </w:r>
      <w:proofErr w:type="gramEnd"/>
      <w:r w:rsidRPr="007A3A4A">
        <w:rPr>
          <w:rFonts w:eastAsia="Times New Roman"/>
          <w:lang w:eastAsia="en-NZ"/>
        </w:rPr>
        <w:t xml:space="preserve"> line of resistance is being challenged.</w:t>
      </w:r>
    </w:p>
    <w:p w:rsidR="007A3A4A" w:rsidRPr="007A3A4A" w:rsidRDefault="007A3A4A" w:rsidP="007A3A4A">
      <w:pPr>
        <w:spacing w:before="100" w:beforeAutospacing="1" w:after="100" w:afterAutospacing="1"/>
        <w:ind w:left="720"/>
        <w:rPr>
          <w:rFonts w:eastAsia="Times New Roman"/>
          <w:lang w:eastAsia="en-NZ"/>
        </w:rPr>
      </w:pPr>
      <w:r w:rsidRPr="007A3A4A">
        <w:rPr>
          <w:rFonts w:eastAsia="Times New Roman"/>
          <w:lang w:eastAsia="en-NZ"/>
        </w:rPr>
        <w:t xml:space="preserve">An update on the power problems at the </w:t>
      </w:r>
      <w:proofErr w:type="spellStart"/>
      <w:r w:rsidRPr="007A3A4A">
        <w:rPr>
          <w:rFonts w:eastAsia="Times New Roman"/>
          <w:lang w:eastAsia="en-NZ"/>
        </w:rPr>
        <w:t>Edikan</w:t>
      </w:r>
      <w:proofErr w:type="spellEnd"/>
      <w:r w:rsidRPr="007A3A4A">
        <w:rPr>
          <w:rFonts w:eastAsia="Times New Roman"/>
          <w:lang w:eastAsia="en-NZ"/>
        </w:rPr>
        <w:t xml:space="preserve"> mine didn’t have too much of a negative effect today which can only be viewed as a positive considering that production is going to be affected.  However, price has been falling over the past few weeks which is almost certainly down to the retracement in gold itself.  Quite interestingly, results announced on the 16th of February were met with some enthusiasm with the end result being a solid percentage gain accompanied by high volume.  Unfortunately that strength proved to be a one off event with price rejecting from the line of resistance as annotated.  This means that the ascending triangle we were keeping close tabs on has been invalidated which is really something we didn’t want to see.  Not that this moves us to a bearish stance although a break beneath the minor line of support around current levels would be reason for concern, at least over the short term.  Should minor support hold it could well be that the sideways consolidation that’s been unfolding since January is a longer pause for breath before the next leg higher.  That would be the ideal situation although as previously mentioned at the end of the day Perseus is probably going to follow the price of the yellow metal itself which has been struggling of late.  Should the next move be to the downside we need to keep a close eye on the 61.8% retracement level of the prior leg higher which sits at $0.275; a break beneath that level would likely result in the significant lows made in mid-December of last year being revisited. </w:t>
      </w:r>
    </w:p>
    <w:p w:rsidR="007A3A4A" w:rsidRPr="007A3A4A" w:rsidRDefault="007A3A4A" w:rsidP="007A3A4A">
      <w:pPr>
        <w:rPr>
          <w:rFonts w:eastAsia="Times New Roman"/>
          <w:lang w:eastAsia="en-NZ"/>
        </w:rPr>
      </w:pPr>
      <w:r w:rsidRPr="007A3A4A">
        <w:rPr>
          <w:rFonts w:eastAsia="Times New Roman"/>
          <w:lang w:eastAsia="en-NZ"/>
        </w:rPr>
        <w:t xml:space="preserve">Trading Strategy </w:t>
      </w:r>
    </w:p>
    <w:p w:rsidR="007A3A4A" w:rsidRPr="007A3A4A" w:rsidRDefault="007A3A4A" w:rsidP="007A3A4A">
      <w:pPr>
        <w:spacing w:before="100" w:beforeAutospacing="1" w:after="100" w:afterAutospacing="1"/>
        <w:ind w:left="720"/>
        <w:rPr>
          <w:rFonts w:eastAsia="Times New Roman"/>
          <w:lang w:eastAsia="en-NZ"/>
        </w:rPr>
      </w:pPr>
      <w:r w:rsidRPr="007A3A4A">
        <w:rPr>
          <w:rFonts w:eastAsia="Times New Roman"/>
          <w:lang w:eastAsia="en-NZ"/>
        </w:rPr>
        <w:t xml:space="preserve">I’d only be interested in a trade here if the lower boundary of the consolidation pattern is penetrated intraday followed by a strong close.  The reason being that there is the possibility of seeing some Type-A bullish divergence in a few </w:t>
      </w:r>
      <w:proofErr w:type="spellStart"/>
      <w:r w:rsidRPr="007A3A4A">
        <w:rPr>
          <w:rFonts w:eastAsia="Times New Roman"/>
          <w:lang w:eastAsia="en-NZ"/>
        </w:rPr>
        <w:t>days time</w:t>
      </w:r>
      <w:proofErr w:type="spellEnd"/>
      <w:r w:rsidRPr="007A3A4A">
        <w:rPr>
          <w:rFonts w:eastAsia="Times New Roman"/>
          <w:lang w:eastAsia="en-NZ"/>
        </w:rPr>
        <w:t xml:space="preserve"> though the ideal set-up would have to present itself before getting involved.  Any trade put forward next week would also be for aggressive traders only with the more conservative amongst you needing to stand aside.  Should the bullish divergence trigger we’ll be looking for a continuation up toward the line of resistance circa $0.54 which offers a good percentage gain from current levels.  For the moment it’s one for the short-term watch list.</w:t>
      </w:r>
    </w:p>
    <w:p w:rsidR="007A3A4A" w:rsidRDefault="007A3A4A">
      <w:bookmarkStart w:id="0" w:name="_GoBack"/>
      <w:bookmarkEnd w:id="0"/>
    </w:p>
    <w:sectPr w:rsidR="007A3A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4A"/>
    <w:rsid w:val="000005AF"/>
    <w:rsid w:val="00005ACA"/>
    <w:rsid w:val="00032FEC"/>
    <w:rsid w:val="000A58FE"/>
    <w:rsid w:val="000F7C0D"/>
    <w:rsid w:val="00122D7A"/>
    <w:rsid w:val="00124572"/>
    <w:rsid w:val="00135BE3"/>
    <w:rsid w:val="001A7089"/>
    <w:rsid w:val="002709C2"/>
    <w:rsid w:val="00293CED"/>
    <w:rsid w:val="002D38D2"/>
    <w:rsid w:val="00317EFD"/>
    <w:rsid w:val="00327B84"/>
    <w:rsid w:val="00342524"/>
    <w:rsid w:val="003425F8"/>
    <w:rsid w:val="0040637C"/>
    <w:rsid w:val="0041753E"/>
    <w:rsid w:val="00457006"/>
    <w:rsid w:val="004716C9"/>
    <w:rsid w:val="005564B5"/>
    <w:rsid w:val="005A3CEB"/>
    <w:rsid w:val="005D76CF"/>
    <w:rsid w:val="005F5984"/>
    <w:rsid w:val="0062666F"/>
    <w:rsid w:val="00626FD1"/>
    <w:rsid w:val="0065476C"/>
    <w:rsid w:val="0066170C"/>
    <w:rsid w:val="006B0832"/>
    <w:rsid w:val="00706503"/>
    <w:rsid w:val="00783EDE"/>
    <w:rsid w:val="007964ED"/>
    <w:rsid w:val="007A3A4A"/>
    <w:rsid w:val="007C4C1C"/>
    <w:rsid w:val="007D1CC3"/>
    <w:rsid w:val="007D4B48"/>
    <w:rsid w:val="00804C42"/>
    <w:rsid w:val="008177C8"/>
    <w:rsid w:val="00864501"/>
    <w:rsid w:val="0086735B"/>
    <w:rsid w:val="00887E5C"/>
    <w:rsid w:val="008D33CE"/>
    <w:rsid w:val="008F27F0"/>
    <w:rsid w:val="009A12D0"/>
    <w:rsid w:val="009D30F1"/>
    <w:rsid w:val="00A22B21"/>
    <w:rsid w:val="00A31B93"/>
    <w:rsid w:val="00AA0738"/>
    <w:rsid w:val="00B237AD"/>
    <w:rsid w:val="00B25DA3"/>
    <w:rsid w:val="00B47108"/>
    <w:rsid w:val="00B528D9"/>
    <w:rsid w:val="00B7045B"/>
    <w:rsid w:val="00C22104"/>
    <w:rsid w:val="00C91F5C"/>
    <w:rsid w:val="00CD4731"/>
    <w:rsid w:val="00D37904"/>
    <w:rsid w:val="00D56680"/>
    <w:rsid w:val="00D5754F"/>
    <w:rsid w:val="00D859B0"/>
    <w:rsid w:val="00DB135B"/>
    <w:rsid w:val="00E0360E"/>
    <w:rsid w:val="00E80840"/>
    <w:rsid w:val="00EA616C"/>
    <w:rsid w:val="00EC2CD4"/>
    <w:rsid w:val="00ED0B88"/>
    <w:rsid w:val="00ED66AB"/>
    <w:rsid w:val="00F12BFA"/>
    <w:rsid w:val="00F20E2F"/>
    <w:rsid w:val="00F751CF"/>
    <w:rsid w:val="00F92DB8"/>
    <w:rsid w:val="00FA1C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4B0DD-EDF3-4EB1-B315-5A0900AF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dPhNwk8DNs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2015-04-16T04:04:00Z</dcterms:created>
  <dcterms:modified xsi:type="dcterms:W3CDTF">2015-04-16T04:05:00Z</dcterms:modified>
</cp:coreProperties>
</file>