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656216">
      <w:r>
        <w:rPr>
          <w:noProof/>
        </w:rPr>
        <w:drawing>
          <wp:inline distT="0" distB="0" distL="0" distR="0" wp14:anchorId="01065D1C" wp14:editId="6A426C9C">
            <wp:extent cx="5943600" cy="4930987"/>
            <wp:effectExtent l="0" t="0" r="0" b="3175"/>
            <wp:docPr id="1" name="Picture 1" descr="P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656216" w:rsidRDefault="00656216"/>
    <w:p w:rsidR="00656216" w:rsidRPr="00656216" w:rsidRDefault="00656216" w:rsidP="00656216">
      <w:pPr>
        <w:spacing w:after="0" w:line="240" w:lineRule="auto"/>
        <w:rPr>
          <w:rFonts w:ascii="Times New Roman" w:eastAsia="Times New Roman" w:hAnsi="Times New Roman" w:cs="Times New Roman"/>
          <w:sz w:val="24"/>
          <w:szCs w:val="24"/>
        </w:rPr>
      </w:pPr>
      <w:r w:rsidRPr="00656216">
        <w:rPr>
          <w:rFonts w:ascii="Times New Roman" w:eastAsia="Times New Roman" w:hAnsi="Times New Roman" w:cs="Times New Roman"/>
          <w:sz w:val="24"/>
          <w:szCs w:val="24"/>
        </w:rPr>
        <w:t xml:space="preserve">Bottom Line </w:t>
      </w:r>
    </w:p>
    <w:p w:rsidR="00656216" w:rsidRPr="00656216" w:rsidRDefault="00656216" w:rsidP="00656216">
      <w:pPr>
        <w:spacing w:before="100" w:beforeAutospacing="1" w:after="100" w:afterAutospacing="1" w:line="240" w:lineRule="auto"/>
        <w:ind w:left="720"/>
        <w:rPr>
          <w:rFonts w:ascii="Times New Roman" w:eastAsia="Times New Roman" w:hAnsi="Times New Roman" w:cs="Times New Roman"/>
          <w:sz w:val="24"/>
          <w:szCs w:val="24"/>
        </w:rPr>
      </w:pPr>
      <w:r w:rsidRPr="00656216">
        <w:rPr>
          <w:rFonts w:ascii="Times New Roman" w:eastAsia="Times New Roman" w:hAnsi="Times New Roman" w:cs="Times New Roman"/>
          <w:sz w:val="24"/>
          <w:szCs w:val="24"/>
        </w:rPr>
        <w:t>28/7:</w:t>
      </w:r>
      <w:r w:rsidRPr="00656216">
        <w:rPr>
          <w:rFonts w:ascii="Times New Roman" w:eastAsia="Times New Roman" w:hAnsi="Times New Roman" w:cs="Times New Roman"/>
          <w:sz w:val="24"/>
          <w:szCs w:val="24"/>
        </w:rPr>
        <w:br/>
        <w:t xml:space="preserve">Daily Trend: </w:t>
      </w:r>
      <w:r w:rsidRPr="00656216">
        <w:rPr>
          <w:rFonts w:ascii="Times New Roman" w:eastAsia="Times New Roman" w:hAnsi="Times New Roman" w:cs="Times New Roman"/>
          <w:color w:val="00FF00"/>
          <w:sz w:val="24"/>
          <w:szCs w:val="24"/>
        </w:rPr>
        <w:t>Up</w:t>
      </w:r>
      <w:r w:rsidRPr="00656216">
        <w:rPr>
          <w:rFonts w:ascii="Times New Roman" w:eastAsia="Times New Roman" w:hAnsi="Times New Roman" w:cs="Times New Roman"/>
          <w:sz w:val="24"/>
          <w:szCs w:val="24"/>
        </w:rPr>
        <w:br/>
        <w:t xml:space="preserve">Weekly Trend: </w:t>
      </w:r>
      <w:r w:rsidRPr="00656216">
        <w:rPr>
          <w:rFonts w:ascii="Times New Roman" w:eastAsia="Times New Roman" w:hAnsi="Times New Roman" w:cs="Times New Roman"/>
          <w:color w:val="00FF00"/>
          <w:sz w:val="24"/>
          <w:szCs w:val="24"/>
        </w:rPr>
        <w:t>Up</w:t>
      </w:r>
      <w:r w:rsidRPr="00656216">
        <w:rPr>
          <w:rFonts w:ascii="Times New Roman" w:eastAsia="Times New Roman" w:hAnsi="Times New Roman" w:cs="Times New Roman"/>
          <w:sz w:val="24"/>
          <w:szCs w:val="24"/>
        </w:rPr>
        <w:br/>
        <w:t xml:space="preserve">Monthly Trend: </w:t>
      </w:r>
      <w:r w:rsidRPr="00656216">
        <w:rPr>
          <w:rFonts w:ascii="Times New Roman" w:eastAsia="Times New Roman" w:hAnsi="Times New Roman" w:cs="Times New Roman"/>
          <w:color w:val="00FF00"/>
          <w:sz w:val="24"/>
          <w:szCs w:val="24"/>
        </w:rPr>
        <w:t>Up</w:t>
      </w:r>
      <w:r w:rsidRPr="00656216">
        <w:rPr>
          <w:rFonts w:ascii="Times New Roman" w:eastAsia="Times New Roman" w:hAnsi="Times New Roman" w:cs="Times New Roman"/>
          <w:sz w:val="24"/>
          <w:szCs w:val="24"/>
        </w:rPr>
        <w:br/>
        <w:t>Support levels: $0.45 - $0.42 / $0.36</w:t>
      </w:r>
      <w:r w:rsidRPr="00656216">
        <w:rPr>
          <w:rFonts w:ascii="Times New Roman" w:eastAsia="Times New Roman" w:hAnsi="Times New Roman" w:cs="Times New Roman"/>
          <w:sz w:val="24"/>
          <w:szCs w:val="24"/>
        </w:rPr>
        <w:br/>
        <w:t>Resistance levels: $0.70 / $0.915</w:t>
      </w:r>
    </w:p>
    <w:p w:rsidR="00656216" w:rsidRPr="00656216" w:rsidRDefault="00656216" w:rsidP="00656216">
      <w:pPr>
        <w:spacing w:after="0" w:line="240" w:lineRule="auto"/>
        <w:rPr>
          <w:rFonts w:ascii="Times New Roman" w:eastAsia="Times New Roman" w:hAnsi="Times New Roman" w:cs="Times New Roman"/>
          <w:sz w:val="24"/>
          <w:szCs w:val="24"/>
        </w:rPr>
      </w:pPr>
      <w:r w:rsidRPr="00656216">
        <w:rPr>
          <w:rFonts w:ascii="Times New Roman" w:eastAsia="Times New Roman" w:hAnsi="Times New Roman" w:cs="Times New Roman"/>
          <w:sz w:val="24"/>
          <w:szCs w:val="24"/>
        </w:rPr>
        <w:t xml:space="preserve">Video Analysis </w:t>
      </w:r>
    </w:p>
    <w:p w:rsidR="00656216" w:rsidRPr="00656216" w:rsidRDefault="00656216" w:rsidP="00656216">
      <w:pPr>
        <w:spacing w:after="0" w:line="240" w:lineRule="auto"/>
        <w:ind w:left="720"/>
        <w:rPr>
          <w:rFonts w:ascii="Times New Roman" w:eastAsia="Times New Roman" w:hAnsi="Times New Roman" w:cs="Times New Roman"/>
          <w:sz w:val="24"/>
          <w:szCs w:val="24"/>
        </w:rPr>
      </w:pPr>
      <w:hyperlink r:id="rId5" w:tgtFrame="_blank" w:history="1">
        <w:r w:rsidRPr="00656216">
          <w:rPr>
            <w:rFonts w:ascii="Times New Roman" w:eastAsia="Times New Roman" w:hAnsi="Times New Roman" w:cs="Times New Roman"/>
            <w:color w:val="0000FF"/>
            <w:sz w:val="24"/>
            <w:szCs w:val="24"/>
            <w:u w:val="single"/>
          </w:rPr>
          <w:t xml:space="preserve">Watch Video Analysis Here </w:t>
        </w:r>
      </w:hyperlink>
    </w:p>
    <w:p w:rsidR="00656216" w:rsidRPr="00656216" w:rsidRDefault="00656216" w:rsidP="00656216">
      <w:pPr>
        <w:spacing w:after="0" w:line="240" w:lineRule="auto"/>
        <w:rPr>
          <w:rFonts w:ascii="Times New Roman" w:eastAsia="Times New Roman" w:hAnsi="Times New Roman" w:cs="Times New Roman"/>
          <w:sz w:val="24"/>
          <w:szCs w:val="24"/>
        </w:rPr>
      </w:pPr>
      <w:r w:rsidRPr="00656216">
        <w:rPr>
          <w:rFonts w:ascii="Times New Roman" w:eastAsia="Times New Roman" w:hAnsi="Times New Roman" w:cs="Times New Roman"/>
          <w:sz w:val="24"/>
          <w:szCs w:val="24"/>
        </w:rPr>
        <w:t xml:space="preserve">Technical Discussion </w:t>
      </w:r>
    </w:p>
    <w:p w:rsidR="00656216" w:rsidRPr="00656216" w:rsidRDefault="00656216" w:rsidP="00656216">
      <w:pPr>
        <w:spacing w:after="0" w:line="240" w:lineRule="auto"/>
        <w:ind w:left="720"/>
        <w:rPr>
          <w:rFonts w:ascii="Times New Roman" w:eastAsia="Times New Roman" w:hAnsi="Times New Roman" w:cs="Times New Roman"/>
          <w:sz w:val="24"/>
          <w:szCs w:val="24"/>
        </w:rPr>
      </w:pPr>
      <w:r w:rsidRPr="00656216">
        <w:rPr>
          <w:rFonts w:ascii="Times New Roman" w:eastAsia="Times New Roman" w:hAnsi="Times New Roman" w:cs="Times New Roman"/>
          <w:sz w:val="24"/>
          <w:szCs w:val="24"/>
        </w:rPr>
        <w:t xml:space="preserve">Perseus Mining is a Gold &amp; Silver explorer which went on to become a producer in early 2012.  It operates in the republics of Ghana and Cote d’Ivoire in West Africa.  The </w:t>
      </w:r>
      <w:proofErr w:type="spellStart"/>
      <w:r w:rsidRPr="00656216">
        <w:rPr>
          <w:rFonts w:ascii="Times New Roman" w:eastAsia="Times New Roman" w:hAnsi="Times New Roman" w:cs="Times New Roman"/>
          <w:sz w:val="24"/>
          <w:szCs w:val="24"/>
        </w:rPr>
        <w:t>Sissingue</w:t>
      </w:r>
      <w:proofErr w:type="spellEnd"/>
      <w:r w:rsidRPr="00656216">
        <w:rPr>
          <w:rFonts w:ascii="Times New Roman" w:eastAsia="Times New Roman" w:hAnsi="Times New Roman" w:cs="Times New Roman"/>
          <w:sz w:val="24"/>
          <w:szCs w:val="24"/>
        </w:rPr>
        <w:t xml:space="preserve"> Gold project is located within an 885 square </w:t>
      </w:r>
      <w:proofErr w:type="spellStart"/>
      <w:r w:rsidRPr="00656216">
        <w:rPr>
          <w:rFonts w:ascii="Times New Roman" w:eastAsia="Times New Roman" w:hAnsi="Times New Roman" w:cs="Times New Roman"/>
          <w:sz w:val="24"/>
          <w:szCs w:val="24"/>
        </w:rPr>
        <w:t>kilometre</w:t>
      </w:r>
      <w:proofErr w:type="spellEnd"/>
      <w:r w:rsidRPr="00656216">
        <w:rPr>
          <w:rFonts w:ascii="Times New Roman" w:eastAsia="Times New Roman" w:hAnsi="Times New Roman" w:cs="Times New Roman"/>
          <w:sz w:val="24"/>
          <w:szCs w:val="24"/>
        </w:rPr>
        <w:t xml:space="preserve"> land package consisting of the </w:t>
      </w:r>
      <w:proofErr w:type="spellStart"/>
      <w:r w:rsidRPr="00656216">
        <w:rPr>
          <w:rFonts w:ascii="Times New Roman" w:eastAsia="Times New Roman" w:hAnsi="Times New Roman" w:cs="Times New Roman"/>
          <w:sz w:val="24"/>
          <w:szCs w:val="24"/>
        </w:rPr>
        <w:t>Sissingue</w:t>
      </w:r>
      <w:proofErr w:type="spellEnd"/>
      <w:r w:rsidRPr="00656216">
        <w:rPr>
          <w:rFonts w:ascii="Times New Roman" w:eastAsia="Times New Roman" w:hAnsi="Times New Roman" w:cs="Times New Roman"/>
          <w:sz w:val="24"/>
          <w:szCs w:val="24"/>
        </w:rPr>
        <w:t xml:space="preserve"> exploitation permit area and the adjoining </w:t>
      </w:r>
      <w:proofErr w:type="spellStart"/>
      <w:r w:rsidRPr="00656216">
        <w:rPr>
          <w:rFonts w:ascii="Times New Roman" w:eastAsia="Times New Roman" w:hAnsi="Times New Roman" w:cs="Times New Roman"/>
          <w:sz w:val="24"/>
          <w:szCs w:val="24"/>
        </w:rPr>
        <w:t>Tengrela</w:t>
      </w:r>
      <w:proofErr w:type="spellEnd"/>
      <w:r w:rsidRPr="00656216">
        <w:rPr>
          <w:rFonts w:ascii="Times New Roman" w:eastAsia="Times New Roman" w:hAnsi="Times New Roman" w:cs="Times New Roman"/>
          <w:sz w:val="24"/>
          <w:szCs w:val="24"/>
        </w:rPr>
        <w:t xml:space="preserve"> south exploration </w:t>
      </w:r>
      <w:r w:rsidRPr="00656216">
        <w:rPr>
          <w:rFonts w:ascii="Times New Roman" w:eastAsia="Times New Roman" w:hAnsi="Times New Roman" w:cs="Times New Roman"/>
          <w:sz w:val="24"/>
          <w:szCs w:val="24"/>
        </w:rPr>
        <w:lastRenderedPageBreak/>
        <w:t xml:space="preserve">permit area.  Together they are known as the </w:t>
      </w:r>
      <w:proofErr w:type="spellStart"/>
      <w:r w:rsidRPr="00656216">
        <w:rPr>
          <w:rFonts w:ascii="Times New Roman" w:eastAsia="Times New Roman" w:hAnsi="Times New Roman" w:cs="Times New Roman"/>
          <w:sz w:val="24"/>
          <w:szCs w:val="24"/>
        </w:rPr>
        <w:t>Tengrela</w:t>
      </w:r>
      <w:proofErr w:type="spellEnd"/>
      <w:r w:rsidRPr="00656216">
        <w:rPr>
          <w:rFonts w:ascii="Times New Roman" w:eastAsia="Times New Roman" w:hAnsi="Times New Roman" w:cs="Times New Roman"/>
          <w:sz w:val="24"/>
          <w:szCs w:val="24"/>
        </w:rPr>
        <w:t xml:space="preserve"> Gold project. For the six months ending the 31st of December 2015 revenues increased 5% to A$149.1M. Net income decreased 70% to A$12.1M. Revenues reveal an increase in demand for the Company's products and services due to favorable market conditions. Broker consensus is currently “Hold”. No dividend is currently paid.</w:t>
      </w:r>
      <w:r w:rsidRPr="00656216">
        <w:rPr>
          <w:rFonts w:ascii="Times New Roman" w:eastAsia="Times New Roman" w:hAnsi="Times New Roman" w:cs="Times New Roman"/>
          <w:sz w:val="24"/>
          <w:szCs w:val="24"/>
        </w:rPr>
        <w:br/>
        <w:t> </w:t>
      </w:r>
      <w:r w:rsidRPr="00656216">
        <w:rPr>
          <w:rFonts w:ascii="Times New Roman" w:eastAsia="Times New Roman" w:hAnsi="Times New Roman" w:cs="Times New Roman"/>
          <w:sz w:val="24"/>
          <w:szCs w:val="24"/>
        </w:rPr>
        <w:br/>
        <w:t>Reasons to remain optimistic longer term:</w:t>
      </w:r>
      <w:r w:rsidRPr="00656216">
        <w:rPr>
          <w:rFonts w:ascii="Times New Roman" w:eastAsia="Times New Roman" w:hAnsi="Times New Roman" w:cs="Times New Roman"/>
          <w:sz w:val="24"/>
          <w:szCs w:val="24"/>
        </w:rPr>
        <w:br/>
        <w:t>→ Improved reliability and increased cash generation in West Africa.</w:t>
      </w:r>
      <w:r w:rsidRPr="00656216">
        <w:rPr>
          <w:rFonts w:ascii="Times New Roman" w:eastAsia="Times New Roman" w:hAnsi="Times New Roman" w:cs="Times New Roman"/>
          <w:sz w:val="24"/>
          <w:szCs w:val="24"/>
        </w:rPr>
        <w:br/>
        <w:t xml:space="preserve">→ Management have indicated that mine life at </w:t>
      </w:r>
      <w:proofErr w:type="spellStart"/>
      <w:r w:rsidRPr="00656216">
        <w:rPr>
          <w:rFonts w:ascii="Times New Roman" w:eastAsia="Times New Roman" w:hAnsi="Times New Roman" w:cs="Times New Roman"/>
          <w:sz w:val="24"/>
          <w:szCs w:val="24"/>
        </w:rPr>
        <w:t>Edikan</w:t>
      </w:r>
      <w:proofErr w:type="spellEnd"/>
      <w:r w:rsidRPr="00656216">
        <w:rPr>
          <w:rFonts w:ascii="Times New Roman" w:eastAsia="Times New Roman" w:hAnsi="Times New Roman" w:cs="Times New Roman"/>
          <w:sz w:val="24"/>
          <w:szCs w:val="24"/>
        </w:rPr>
        <w:t xml:space="preserve"> has been increased.</w:t>
      </w:r>
      <w:r w:rsidRPr="00656216">
        <w:rPr>
          <w:rFonts w:ascii="Times New Roman" w:eastAsia="Times New Roman" w:hAnsi="Times New Roman" w:cs="Times New Roman"/>
          <w:sz w:val="24"/>
          <w:szCs w:val="24"/>
        </w:rPr>
        <w:br/>
        <w:t>→ The Ghanaian government has given approval for access to additional mining areas.</w:t>
      </w:r>
      <w:r w:rsidRPr="00656216">
        <w:rPr>
          <w:rFonts w:ascii="Times New Roman" w:eastAsia="Times New Roman" w:hAnsi="Times New Roman" w:cs="Times New Roman"/>
          <w:sz w:val="24"/>
          <w:szCs w:val="24"/>
        </w:rPr>
        <w:br/>
        <w:t>→ Currency gains resulted in an improved result.</w:t>
      </w:r>
      <w:r w:rsidRPr="00656216">
        <w:rPr>
          <w:rFonts w:ascii="Times New Roman" w:eastAsia="Times New Roman" w:hAnsi="Times New Roman" w:cs="Times New Roman"/>
          <w:sz w:val="24"/>
          <w:szCs w:val="24"/>
        </w:rPr>
        <w:br/>
        <w:t>→ The balance sheet is healthy with no debt.</w:t>
      </w:r>
      <w:r w:rsidRPr="00656216">
        <w:rPr>
          <w:rFonts w:ascii="Times New Roman" w:eastAsia="Times New Roman" w:hAnsi="Times New Roman" w:cs="Times New Roman"/>
          <w:sz w:val="24"/>
          <w:szCs w:val="24"/>
        </w:rPr>
        <w:br/>
        <w:t>→ Perseus continues to cut expenditure which is required for the company to remain profitable.</w:t>
      </w:r>
    </w:p>
    <w:p w:rsidR="00656216" w:rsidRPr="00656216" w:rsidRDefault="00656216" w:rsidP="00656216">
      <w:pPr>
        <w:spacing w:after="0" w:line="240" w:lineRule="auto"/>
        <w:ind w:left="720"/>
        <w:rPr>
          <w:rFonts w:ascii="Times New Roman" w:eastAsia="Times New Roman" w:hAnsi="Times New Roman" w:cs="Times New Roman"/>
          <w:sz w:val="24"/>
          <w:szCs w:val="24"/>
        </w:rPr>
      </w:pPr>
      <w:r w:rsidRPr="00656216">
        <w:rPr>
          <w:rFonts w:ascii="Times New Roman" w:eastAsia="Times New Roman" w:hAnsi="Times New Roman" w:cs="Times New Roman"/>
          <w:sz w:val="24"/>
          <w:szCs w:val="24"/>
        </w:rPr>
        <w:t> </w:t>
      </w:r>
    </w:p>
    <w:p w:rsidR="00656216" w:rsidRPr="00656216" w:rsidRDefault="00656216" w:rsidP="00656216">
      <w:pPr>
        <w:spacing w:after="0" w:line="240" w:lineRule="auto"/>
        <w:ind w:left="720"/>
        <w:rPr>
          <w:rFonts w:ascii="Times New Roman" w:eastAsia="Times New Roman" w:hAnsi="Times New Roman" w:cs="Times New Roman"/>
          <w:sz w:val="24"/>
          <w:szCs w:val="24"/>
        </w:rPr>
      </w:pPr>
      <w:r w:rsidRPr="00656216">
        <w:rPr>
          <w:rFonts w:ascii="Times New Roman" w:eastAsia="Times New Roman" w:hAnsi="Times New Roman" w:cs="Times New Roman"/>
          <w:sz w:val="24"/>
          <w:szCs w:val="24"/>
        </w:rPr>
        <w:t>Plenty of gold stocks have been trending with a degree of attitude over the past few months with SBM &amp; RRL two that immediately come to mind. In fact, many of the miners in the sector have broken up through large consolidation or basing patterns which often triggers strong impulsive price action. However, there are also several other companies sitting within the sector that have yet to break out with any impetus. PRU fits into the latter category with a few failed attempts taking hold this year. The smaller degree patterns are still difficult to decipher which means we’ll go back to the weekly chart this evening and remind ourselves that the large consolidation phase that commenced all the way back in December 2013 is extremely bullish medium to longer term. Indeed, the upper boundary of the basing pattern has been overcome with price recently posturing above what essentially becomes new support. Yes, we are still waiting for the longer term uptrend to kick into gear although it only appears to be a matter of time before this is witnessed. Of course timing is extremely important although sometimes you just have to be patient. In regard to the basing pattern we can measure the depth of the structure and project that distance higher from the breakout area which in this instance provides a target just beneath $1.00 although this would be our minimum expectation. If the yellow metal can really gain a head of steam, then the typical retracement zone of the whole leg down off the all-time highs well above $2.00 is attainable although it could take several years to reach those heights. For now, we’ll take one step and one pattern at a time whilst continuing to show patience.</w:t>
      </w:r>
    </w:p>
    <w:p w:rsidR="00656216" w:rsidRPr="00656216" w:rsidRDefault="00656216" w:rsidP="00656216">
      <w:pPr>
        <w:spacing w:after="0" w:line="240" w:lineRule="auto"/>
        <w:rPr>
          <w:rFonts w:ascii="Times New Roman" w:eastAsia="Times New Roman" w:hAnsi="Times New Roman" w:cs="Times New Roman"/>
          <w:sz w:val="24"/>
          <w:szCs w:val="24"/>
        </w:rPr>
      </w:pPr>
      <w:r w:rsidRPr="00656216">
        <w:rPr>
          <w:rFonts w:ascii="Times New Roman" w:eastAsia="Times New Roman" w:hAnsi="Times New Roman" w:cs="Times New Roman"/>
          <w:sz w:val="24"/>
          <w:szCs w:val="24"/>
        </w:rPr>
        <w:t xml:space="preserve">Trading Strategy </w:t>
      </w:r>
    </w:p>
    <w:p w:rsidR="00656216" w:rsidRPr="00656216" w:rsidRDefault="00656216" w:rsidP="00656216">
      <w:pPr>
        <w:spacing w:before="100" w:beforeAutospacing="1" w:after="100" w:afterAutospacing="1" w:line="240" w:lineRule="auto"/>
        <w:ind w:left="720"/>
        <w:rPr>
          <w:rFonts w:ascii="Times New Roman" w:eastAsia="Times New Roman" w:hAnsi="Times New Roman" w:cs="Times New Roman"/>
          <w:sz w:val="24"/>
          <w:szCs w:val="24"/>
        </w:rPr>
      </w:pPr>
      <w:r w:rsidRPr="00656216">
        <w:rPr>
          <w:rFonts w:ascii="Times New Roman" w:eastAsia="Times New Roman" w:hAnsi="Times New Roman" w:cs="Times New Roman"/>
          <w:sz w:val="24"/>
          <w:szCs w:val="24"/>
        </w:rPr>
        <w:t>Perseus isn’t alone in regard to us waiting for a more impulsive breakout with AQG being one that we’ve added to our menu, and our watchlist recently. Both stocks have the potential to make substantial gains and find themselves sitting within very similar patterns. One thing is for sure, short-term volatility is unlikely to go away meaning we have to be even more vigilant in regard to finding low risk entries. However, we have jumped onto a few of the gold stocks recently though have taken profits off the table. When the time is right, and patterns permit, we’ll be putting more setups forward.</w:t>
      </w:r>
    </w:p>
    <w:p w:rsidR="00656216" w:rsidRPr="00656216" w:rsidRDefault="00656216" w:rsidP="00656216">
      <w:pPr>
        <w:spacing w:before="100" w:beforeAutospacing="1" w:after="100" w:afterAutospacing="1" w:line="240" w:lineRule="auto"/>
        <w:ind w:left="720"/>
        <w:rPr>
          <w:rFonts w:ascii="Times New Roman" w:eastAsia="Times New Roman" w:hAnsi="Times New Roman" w:cs="Times New Roman"/>
          <w:sz w:val="24"/>
          <w:szCs w:val="24"/>
        </w:rPr>
      </w:pPr>
      <w:r w:rsidRPr="00656216">
        <w:rPr>
          <w:rFonts w:ascii="Times New Roman" w:eastAsia="Times New Roman" w:hAnsi="Times New Roman" w:cs="Times New Roman"/>
          <w:sz w:val="24"/>
          <w:szCs w:val="24"/>
        </w:rPr>
        <w:t> </w:t>
      </w:r>
    </w:p>
    <w:p w:rsidR="00656216" w:rsidRPr="00656216" w:rsidRDefault="00656216" w:rsidP="00656216">
      <w:pPr>
        <w:spacing w:before="100" w:beforeAutospacing="1" w:after="100" w:afterAutospacing="1" w:line="240" w:lineRule="auto"/>
        <w:ind w:left="720"/>
        <w:rPr>
          <w:rFonts w:ascii="Times New Roman" w:eastAsia="Times New Roman" w:hAnsi="Times New Roman" w:cs="Times New Roman"/>
          <w:sz w:val="24"/>
          <w:szCs w:val="24"/>
        </w:rPr>
      </w:pPr>
      <w:r w:rsidRPr="00656216">
        <w:rPr>
          <w:rFonts w:ascii="Times New Roman" w:eastAsia="Times New Roman" w:hAnsi="Times New Roman" w:cs="Times New Roman"/>
          <w:sz w:val="24"/>
          <w:szCs w:val="24"/>
        </w:rPr>
        <w:lastRenderedPageBreak/>
        <w:t xml:space="preserve"> Disclosure: Peter Hammersley / Nick </w:t>
      </w:r>
      <w:proofErr w:type="spellStart"/>
      <w:r w:rsidRPr="00656216">
        <w:rPr>
          <w:rFonts w:ascii="Times New Roman" w:eastAsia="Times New Roman" w:hAnsi="Times New Roman" w:cs="Times New Roman"/>
          <w:sz w:val="24"/>
          <w:szCs w:val="24"/>
        </w:rPr>
        <w:t>Radge</w:t>
      </w:r>
      <w:proofErr w:type="spellEnd"/>
      <w:r w:rsidRPr="00656216">
        <w:rPr>
          <w:rFonts w:ascii="Times New Roman" w:eastAsia="Times New Roman" w:hAnsi="Times New Roman" w:cs="Times New Roman"/>
          <w:sz w:val="24"/>
          <w:szCs w:val="24"/>
        </w:rPr>
        <w:t xml:space="preserve"> hold.</w:t>
      </w:r>
    </w:p>
    <w:p w:rsidR="00656216" w:rsidRDefault="00656216">
      <w:bookmarkStart w:id="0" w:name="_GoBack"/>
      <w:bookmarkEnd w:id="0"/>
    </w:p>
    <w:sectPr w:rsidR="00656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6A79007-CBFB-44E3-B620-CEAFF29F4EF8}"/>
    <w:docVar w:name="dgnword-eventsink" w:val="350479912"/>
  </w:docVars>
  <w:rsids>
    <w:rsidRoot w:val="00656216"/>
    <w:rsid w:val="00656216"/>
    <w:rsid w:val="006B1B3E"/>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BF27"/>
  <w15:chartTrackingRefBased/>
  <w15:docId w15:val="{D10CC0E4-114B-46A0-B407-70E72BC3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85238">
      <w:bodyDiv w:val="1"/>
      <w:marLeft w:val="0"/>
      <w:marRight w:val="0"/>
      <w:marTop w:val="0"/>
      <w:marBottom w:val="0"/>
      <w:divBdr>
        <w:top w:val="none" w:sz="0" w:space="0" w:color="auto"/>
        <w:left w:val="none" w:sz="0" w:space="0" w:color="auto"/>
        <w:bottom w:val="none" w:sz="0" w:space="0" w:color="auto"/>
        <w:right w:val="none" w:sz="0" w:space="0" w:color="auto"/>
      </w:divBdr>
      <w:divsChild>
        <w:div w:id="113910680">
          <w:marLeft w:val="0"/>
          <w:marRight w:val="0"/>
          <w:marTop w:val="0"/>
          <w:marBottom w:val="0"/>
          <w:divBdr>
            <w:top w:val="none" w:sz="0" w:space="0" w:color="auto"/>
            <w:left w:val="none" w:sz="0" w:space="0" w:color="auto"/>
            <w:bottom w:val="none" w:sz="0" w:space="0" w:color="auto"/>
            <w:right w:val="none" w:sz="0" w:space="0" w:color="auto"/>
          </w:divBdr>
          <w:divsChild>
            <w:div w:id="377752579">
              <w:marLeft w:val="0"/>
              <w:marRight w:val="0"/>
              <w:marTop w:val="0"/>
              <w:marBottom w:val="0"/>
              <w:divBdr>
                <w:top w:val="none" w:sz="0" w:space="0" w:color="auto"/>
                <w:left w:val="none" w:sz="0" w:space="0" w:color="auto"/>
                <w:bottom w:val="none" w:sz="0" w:space="0" w:color="auto"/>
                <w:right w:val="none" w:sz="0" w:space="0" w:color="auto"/>
              </w:divBdr>
            </w:div>
            <w:div w:id="1770274548">
              <w:marLeft w:val="0"/>
              <w:marRight w:val="0"/>
              <w:marTop w:val="0"/>
              <w:marBottom w:val="0"/>
              <w:divBdr>
                <w:top w:val="none" w:sz="0" w:space="0" w:color="auto"/>
                <w:left w:val="none" w:sz="0" w:space="0" w:color="auto"/>
                <w:bottom w:val="none" w:sz="0" w:space="0" w:color="auto"/>
                <w:right w:val="none" w:sz="0" w:space="0" w:color="auto"/>
              </w:divBdr>
            </w:div>
            <w:div w:id="7853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orrlsDv1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2016-09-13T04:09:00Z</dcterms:created>
  <dcterms:modified xsi:type="dcterms:W3CDTF">2016-09-13T04:10:00Z</dcterms:modified>
</cp:coreProperties>
</file>