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B90752">
      <w:r>
        <w:rPr>
          <w:noProof/>
        </w:rPr>
        <w:drawing>
          <wp:inline distT="0" distB="0" distL="0" distR="0" wp14:anchorId="08CC81BD" wp14:editId="172D4CAD">
            <wp:extent cx="5943600" cy="4930987"/>
            <wp:effectExtent l="0" t="0" r="0" b="3175"/>
            <wp:docPr id="4" name="Picture 4"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B90752" w:rsidRDefault="00B90752"/>
    <w:p w:rsidR="00B90752" w:rsidRPr="00B90752" w:rsidRDefault="00B90752" w:rsidP="00B90752">
      <w:pPr>
        <w:spacing w:after="0" w:line="240" w:lineRule="auto"/>
        <w:rPr>
          <w:rFonts w:ascii="Times New Roman" w:eastAsia="Times New Roman" w:hAnsi="Times New Roman" w:cs="Times New Roman"/>
          <w:sz w:val="24"/>
          <w:szCs w:val="24"/>
        </w:rPr>
      </w:pPr>
      <w:r w:rsidRPr="00B90752">
        <w:rPr>
          <w:rFonts w:ascii="Times New Roman" w:eastAsia="Times New Roman" w:hAnsi="Times New Roman" w:cs="Times New Roman"/>
          <w:sz w:val="24"/>
          <w:szCs w:val="24"/>
        </w:rPr>
        <w:t xml:space="preserve">Bottom Line </w:t>
      </w:r>
    </w:p>
    <w:p w:rsidR="00B90752" w:rsidRPr="00B90752" w:rsidRDefault="00B90752" w:rsidP="00B90752">
      <w:pPr>
        <w:spacing w:before="100" w:beforeAutospacing="1" w:after="100" w:afterAutospacing="1" w:line="240" w:lineRule="auto"/>
        <w:ind w:left="720"/>
        <w:rPr>
          <w:rFonts w:ascii="Times New Roman" w:eastAsia="Times New Roman" w:hAnsi="Times New Roman" w:cs="Times New Roman"/>
          <w:sz w:val="24"/>
          <w:szCs w:val="24"/>
        </w:rPr>
      </w:pPr>
      <w:r w:rsidRPr="00B90752">
        <w:rPr>
          <w:rFonts w:ascii="Times New Roman" w:eastAsia="Times New Roman" w:hAnsi="Times New Roman" w:cs="Times New Roman"/>
          <w:sz w:val="24"/>
          <w:szCs w:val="24"/>
        </w:rPr>
        <w:t>1/3:</w:t>
      </w:r>
      <w:r w:rsidRPr="00B90752">
        <w:rPr>
          <w:rFonts w:ascii="Times New Roman" w:eastAsia="Times New Roman" w:hAnsi="Times New Roman" w:cs="Times New Roman"/>
          <w:sz w:val="24"/>
          <w:szCs w:val="24"/>
        </w:rPr>
        <w:br/>
        <w:t xml:space="preserve">Daily Trend: </w:t>
      </w:r>
      <w:r w:rsidRPr="00B90752">
        <w:rPr>
          <w:rFonts w:ascii="Times New Roman" w:eastAsia="Times New Roman" w:hAnsi="Times New Roman" w:cs="Times New Roman"/>
          <w:color w:val="FF0000"/>
          <w:sz w:val="24"/>
          <w:szCs w:val="24"/>
        </w:rPr>
        <w:t>Down</w:t>
      </w:r>
      <w:r w:rsidRPr="00B90752">
        <w:rPr>
          <w:rFonts w:ascii="Times New Roman" w:eastAsia="Times New Roman" w:hAnsi="Times New Roman" w:cs="Times New Roman"/>
          <w:sz w:val="24"/>
          <w:szCs w:val="24"/>
        </w:rPr>
        <w:br/>
        <w:t xml:space="preserve">Weekly Trend: </w:t>
      </w:r>
      <w:r w:rsidRPr="00B90752">
        <w:rPr>
          <w:rFonts w:ascii="Times New Roman" w:eastAsia="Times New Roman" w:hAnsi="Times New Roman" w:cs="Times New Roman"/>
          <w:color w:val="00FF00"/>
          <w:sz w:val="24"/>
          <w:szCs w:val="24"/>
        </w:rPr>
        <w:t>Up</w:t>
      </w:r>
      <w:r w:rsidRPr="00B90752">
        <w:rPr>
          <w:rFonts w:ascii="Times New Roman" w:eastAsia="Times New Roman" w:hAnsi="Times New Roman" w:cs="Times New Roman"/>
          <w:sz w:val="24"/>
          <w:szCs w:val="24"/>
        </w:rPr>
        <w:br/>
        <w:t xml:space="preserve">Monthly Trend: </w:t>
      </w:r>
      <w:r w:rsidRPr="00B90752">
        <w:rPr>
          <w:rFonts w:ascii="Times New Roman" w:eastAsia="Times New Roman" w:hAnsi="Times New Roman" w:cs="Times New Roman"/>
          <w:color w:val="00FF00"/>
          <w:sz w:val="24"/>
          <w:szCs w:val="24"/>
        </w:rPr>
        <w:t>Up</w:t>
      </w:r>
      <w:r w:rsidRPr="00B90752">
        <w:rPr>
          <w:rFonts w:ascii="Times New Roman" w:eastAsia="Times New Roman" w:hAnsi="Times New Roman" w:cs="Times New Roman"/>
          <w:color w:val="FF0000"/>
          <w:sz w:val="24"/>
          <w:szCs w:val="24"/>
        </w:rPr>
        <w:br/>
      </w:r>
      <w:r w:rsidRPr="00B90752">
        <w:rPr>
          <w:rFonts w:ascii="Times New Roman" w:eastAsia="Times New Roman" w:hAnsi="Times New Roman" w:cs="Times New Roman"/>
          <w:sz w:val="24"/>
          <w:szCs w:val="24"/>
        </w:rPr>
        <w:t>Support Levels: $5.15 - $4.61 / $3.96 - $3.56</w:t>
      </w:r>
      <w:r w:rsidRPr="00B90752">
        <w:rPr>
          <w:rFonts w:ascii="Times New Roman" w:eastAsia="Times New Roman" w:hAnsi="Times New Roman" w:cs="Times New Roman"/>
          <w:sz w:val="24"/>
          <w:szCs w:val="24"/>
        </w:rPr>
        <w:br/>
        <w:t>Resistance Levels: $7.01 - $7.27 / $8.57</w:t>
      </w:r>
    </w:p>
    <w:p w:rsidR="00B90752" w:rsidRPr="00B90752" w:rsidRDefault="00B90752" w:rsidP="00B90752">
      <w:pPr>
        <w:spacing w:after="0" w:line="240" w:lineRule="auto"/>
        <w:rPr>
          <w:rFonts w:ascii="Times New Roman" w:eastAsia="Times New Roman" w:hAnsi="Times New Roman" w:cs="Times New Roman"/>
          <w:sz w:val="24"/>
          <w:szCs w:val="24"/>
        </w:rPr>
      </w:pPr>
      <w:r w:rsidRPr="00B90752">
        <w:rPr>
          <w:rFonts w:ascii="Times New Roman" w:eastAsia="Times New Roman" w:hAnsi="Times New Roman" w:cs="Times New Roman"/>
          <w:sz w:val="24"/>
          <w:szCs w:val="24"/>
        </w:rPr>
        <w:t xml:space="preserve">Video Analysis </w:t>
      </w:r>
    </w:p>
    <w:p w:rsidR="00B90752" w:rsidRPr="00B90752" w:rsidRDefault="00B90752" w:rsidP="00B90752">
      <w:pPr>
        <w:spacing w:after="0" w:line="240" w:lineRule="auto"/>
        <w:ind w:left="720"/>
        <w:rPr>
          <w:rFonts w:ascii="Times New Roman" w:eastAsia="Times New Roman" w:hAnsi="Times New Roman" w:cs="Times New Roman"/>
          <w:sz w:val="24"/>
          <w:szCs w:val="24"/>
        </w:rPr>
      </w:pPr>
      <w:hyperlink r:id="rId5" w:tgtFrame="_blank" w:history="1">
        <w:r w:rsidRPr="00B90752">
          <w:rPr>
            <w:rFonts w:ascii="Times New Roman" w:eastAsia="Times New Roman" w:hAnsi="Times New Roman" w:cs="Times New Roman"/>
            <w:color w:val="0000FF"/>
            <w:sz w:val="24"/>
            <w:szCs w:val="24"/>
            <w:u w:val="single"/>
          </w:rPr>
          <w:t xml:space="preserve">Watch Video Analysis Here </w:t>
        </w:r>
      </w:hyperlink>
    </w:p>
    <w:p w:rsidR="00B90752" w:rsidRPr="00B90752" w:rsidRDefault="00B90752" w:rsidP="00B90752">
      <w:pPr>
        <w:spacing w:after="0" w:line="240" w:lineRule="auto"/>
        <w:rPr>
          <w:rFonts w:ascii="Times New Roman" w:eastAsia="Times New Roman" w:hAnsi="Times New Roman" w:cs="Times New Roman"/>
          <w:sz w:val="24"/>
          <w:szCs w:val="24"/>
        </w:rPr>
      </w:pPr>
      <w:r w:rsidRPr="00B90752">
        <w:rPr>
          <w:rFonts w:ascii="Times New Roman" w:eastAsia="Times New Roman" w:hAnsi="Times New Roman" w:cs="Times New Roman"/>
          <w:sz w:val="24"/>
          <w:szCs w:val="24"/>
        </w:rPr>
        <w:t xml:space="preserve">Technical Discussion </w:t>
      </w:r>
    </w:p>
    <w:p w:rsidR="00B90752" w:rsidRPr="00B90752" w:rsidRDefault="00B90752" w:rsidP="00B90752">
      <w:pPr>
        <w:spacing w:before="100" w:beforeAutospacing="1" w:after="100" w:afterAutospacing="1" w:line="240" w:lineRule="auto"/>
        <w:ind w:left="720"/>
        <w:rPr>
          <w:rFonts w:ascii="Times New Roman" w:eastAsia="Times New Roman" w:hAnsi="Times New Roman" w:cs="Times New Roman"/>
          <w:sz w:val="24"/>
          <w:szCs w:val="24"/>
        </w:rPr>
      </w:pPr>
      <w:r w:rsidRPr="00B90752">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w:t>
      </w:r>
      <w:r w:rsidRPr="00B90752">
        <w:rPr>
          <w:rFonts w:ascii="Times New Roman" w:eastAsia="Times New Roman" w:hAnsi="Times New Roman" w:cs="Times New Roman"/>
          <w:sz w:val="24"/>
          <w:szCs w:val="24"/>
        </w:rPr>
        <w:lastRenderedPageBreak/>
        <w:t>Pilbara region of Western Australia which is 263 kilometres south of Port Headland and 150km north of Newman. Its Christmas Creek is the second mining operation, 50 km to the east of Cloudbreak. The Company has also designed and constructed rail and port facilities to support the development and sale of the Pilbara's stranded iron ore bodies. For the six months ending the 31st of December 2016 revenues increased 34% to $4.49B. Net income increased from $319M to $1.22B. Revenues reflect the China section increase of 35% to $4.31B.  Broker/Analyst consensus is a comprehensive “Sell”.  The dividend yield is 2.2%.</w:t>
      </w:r>
      <w:r w:rsidRPr="00B90752">
        <w:rPr>
          <w:rFonts w:ascii="Times New Roman" w:eastAsia="Times New Roman" w:hAnsi="Times New Roman" w:cs="Times New Roman"/>
          <w:sz w:val="24"/>
          <w:szCs w:val="24"/>
        </w:rPr>
        <w:br/>
        <w:t> </w:t>
      </w:r>
      <w:r w:rsidRPr="00B90752">
        <w:rPr>
          <w:rFonts w:ascii="Times New Roman" w:eastAsia="Times New Roman" w:hAnsi="Times New Roman" w:cs="Times New Roman"/>
          <w:sz w:val="24"/>
          <w:szCs w:val="24"/>
        </w:rPr>
        <w:br/>
        <w:t>Reasons to be more optimistic longer term (caution short-term):</w:t>
      </w:r>
      <w:r w:rsidRPr="00B90752">
        <w:rPr>
          <w:rFonts w:ascii="Times New Roman" w:eastAsia="Times New Roman" w:hAnsi="Times New Roman" w:cs="Times New Roman"/>
          <w:sz w:val="24"/>
          <w:szCs w:val="24"/>
        </w:rPr>
        <w:br/>
        <w:t>→ Improving balance sheet provides scope to increase the dividend.</w:t>
      </w:r>
      <w:r w:rsidRPr="00B90752">
        <w:rPr>
          <w:rFonts w:ascii="Times New Roman" w:eastAsia="Times New Roman" w:hAnsi="Times New Roman" w:cs="Times New Roman"/>
          <w:sz w:val="24"/>
          <w:szCs w:val="24"/>
        </w:rPr>
        <w:br/>
        <w:t>→ Dividend payout ratio lifted to almost 40%.</w:t>
      </w:r>
      <w:r w:rsidRPr="00B90752">
        <w:rPr>
          <w:rFonts w:ascii="Times New Roman" w:eastAsia="Times New Roman" w:hAnsi="Times New Roman" w:cs="Times New Roman"/>
          <w:sz w:val="24"/>
          <w:szCs w:val="24"/>
        </w:rPr>
        <w:br/>
        <w:t xml:space="preserve">→ Debt repayment has gained traction. </w:t>
      </w:r>
      <w:r w:rsidRPr="00B90752">
        <w:rPr>
          <w:rFonts w:ascii="Times New Roman" w:eastAsia="Times New Roman" w:hAnsi="Times New Roman" w:cs="Times New Roman"/>
          <w:sz w:val="24"/>
          <w:szCs w:val="24"/>
        </w:rPr>
        <w:br/>
        <w:t>→ Cost reduction continues to improve.</w:t>
      </w:r>
      <w:r w:rsidRPr="00B90752">
        <w:rPr>
          <w:rFonts w:ascii="Times New Roman" w:eastAsia="Times New Roman" w:hAnsi="Times New Roman" w:cs="Times New Roman"/>
          <w:sz w:val="24"/>
          <w:szCs w:val="24"/>
        </w:rPr>
        <w:br/>
        <w:t>→ Spot iron ore prices remain resilient.</w:t>
      </w:r>
      <w:r w:rsidRPr="00B90752">
        <w:rPr>
          <w:rFonts w:ascii="Times New Roman" w:eastAsia="Times New Roman" w:hAnsi="Times New Roman" w:cs="Times New Roman"/>
          <w:sz w:val="24"/>
          <w:szCs w:val="24"/>
        </w:rPr>
        <w:br/>
        <w:t>→ Commodity price forecasts have generally been revised higher by brokers and analysts.</w:t>
      </w:r>
      <w:r w:rsidRPr="00B90752">
        <w:rPr>
          <w:rFonts w:ascii="Times New Roman" w:eastAsia="Times New Roman" w:hAnsi="Times New Roman" w:cs="Times New Roman"/>
          <w:sz w:val="24"/>
          <w:szCs w:val="24"/>
        </w:rPr>
        <w:br/>
        <w:t>→ Pilbara has morphed into a world-class low-cost business.</w:t>
      </w:r>
    </w:p>
    <w:p w:rsidR="00B90752" w:rsidRPr="00B90752" w:rsidRDefault="00B90752" w:rsidP="00B90752">
      <w:pPr>
        <w:spacing w:before="100" w:beforeAutospacing="1" w:after="100" w:afterAutospacing="1" w:line="240" w:lineRule="auto"/>
        <w:ind w:left="720"/>
        <w:rPr>
          <w:rFonts w:ascii="Times New Roman" w:eastAsia="Times New Roman" w:hAnsi="Times New Roman" w:cs="Times New Roman"/>
          <w:sz w:val="24"/>
          <w:szCs w:val="24"/>
        </w:rPr>
      </w:pPr>
      <w:r w:rsidRPr="00B90752">
        <w:rPr>
          <w:rFonts w:ascii="Times New Roman" w:eastAsia="Times New Roman" w:hAnsi="Times New Roman" w:cs="Times New Roman"/>
          <w:sz w:val="24"/>
          <w:szCs w:val="24"/>
        </w:rPr>
        <w:t>A push above the upper boundary of the zone of resistance would normally be a bullish proposition, and we said as much during our last review. However, the telling factor here is how the recent rally has unfolded. It’s been choppy and messy in nature suggesting it’s part of a larger corrective pattern. In fact, looking at the price action over the past few months emphasises the stark difference. Until recently clean strong trends have been unfolding. Not that this change moves us to a bearish stance medium to longer term as it certainly doesn’t. The mere fact that the recent pivot high has been overcome increases the chances that the alternate count is going to win the day. It also decreases the probability of getting the deeper retracement which would result in a substantial percentage loss from current levels. Running with the theme of the alternate count shows that the recent pivot high completes intermediate degree wave-(b) meaning the current leg South needs to travel to lower levels, at least down to around $6.00 and potentially slightly beneath. This would complete a larger flat pattern which would be ideal regarding a completed wave-4. The stage will then be set for the strong prior uptrend to kick back into gear with a vengeance. Advocating caution is also bearish divergence evident on the weekly chart (not shown). It’s also triggered which increases its significance. It could well be that last week’s high is going to remain untouched until our oscillator unwinds fully on the larger timeframe.</w:t>
      </w:r>
    </w:p>
    <w:p w:rsidR="00B90752" w:rsidRPr="00B90752" w:rsidRDefault="00B90752" w:rsidP="00B90752">
      <w:pPr>
        <w:spacing w:after="0" w:line="240" w:lineRule="auto"/>
        <w:rPr>
          <w:rFonts w:ascii="Times New Roman" w:eastAsia="Times New Roman" w:hAnsi="Times New Roman" w:cs="Times New Roman"/>
          <w:sz w:val="24"/>
          <w:szCs w:val="24"/>
        </w:rPr>
      </w:pPr>
      <w:r w:rsidRPr="00B90752">
        <w:rPr>
          <w:rFonts w:ascii="Times New Roman" w:eastAsia="Times New Roman" w:hAnsi="Times New Roman" w:cs="Times New Roman"/>
          <w:sz w:val="24"/>
          <w:szCs w:val="24"/>
        </w:rPr>
        <w:t xml:space="preserve">Trading Strategy </w:t>
      </w:r>
    </w:p>
    <w:p w:rsidR="00B90752" w:rsidRPr="00B90752" w:rsidRDefault="00B90752" w:rsidP="00B90752">
      <w:pPr>
        <w:spacing w:after="0" w:line="240" w:lineRule="auto"/>
        <w:ind w:left="720"/>
        <w:rPr>
          <w:rFonts w:ascii="Times New Roman" w:eastAsia="Times New Roman" w:hAnsi="Times New Roman" w:cs="Times New Roman"/>
          <w:sz w:val="24"/>
          <w:szCs w:val="24"/>
        </w:rPr>
      </w:pPr>
      <w:r w:rsidRPr="00B90752">
        <w:rPr>
          <w:rFonts w:ascii="Times New Roman" w:eastAsia="Times New Roman" w:hAnsi="Times New Roman" w:cs="Times New Roman"/>
          <w:sz w:val="24"/>
          <w:szCs w:val="24"/>
        </w:rPr>
        <w:t xml:space="preserve">The choppy nature of the recent rally advocates caution which in itself means there’s no reason to be looking for a buying opportunity at this stage, especially with the bearish divergence also providing a headwind. However, should the flat pattern into wave-4 form over the coming weeks our interest will be rekindled. We’ll keep Fortescue on the watchlist as </w:t>
      </w:r>
      <w:proofErr w:type="spellStart"/>
      <w:r w:rsidRPr="00B90752">
        <w:rPr>
          <w:rFonts w:ascii="Times New Roman" w:eastAsia="Times New Roman" w:hAnsi="Times New Roman" w:cs="Times New Roman"/>
          <w:sz w:val="24"/>
          <w:szCs w:val="24"/>
        </w:rPr>
        <w:t>it’s</w:t>
      </w:r>
      <w:proofErr w:type="spellEnd"/>
      <w:r w:rsidRPr="00B90752">
        <w:rPr>
          <w:rFonts w:ascii="Times New Roman" w:eastAsia="Times New Roman" w:hAnsi="Times New Roman" w:cs="Times New Roman"/>
          <w:sz w:val="24"/>
          <w:szCs w:val="24"/>
        </w:rPr>
        <w:t xml:space="preserve"> undoubtedly an exceptionally strong trending stock; now isn’t the time to be involved though.</w:t>
      </w:r>
    </w:p>
    <w:p w:rsidR="00B90752" w:rsidRDefault="00B90752">
      <w:bookmarkStart w:id="0" w:name="_GoBack"/>
      <w:bookmarkEnd w:id="0"/>
    </w:p>
    <w:sectPr w:rsidR="00B9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F378F62-DDAD-4586-B019-8C0D328C60F5}"/>
    <w:docVar w:name="dgnword-eventsink" w:val="478511944"/>
  </w:docVars>
  <w:rsids>
    <w:rsidRoot w:val="00B90752"/>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90752"/>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D2BE"/>
  <w15:chartTrackingRefBased/>
  <w15:docId w15:val="{28E1C5D6-09EA-4CA9-8889-2E046CCE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857823">
      <w:bodyDiv w:val="1"/>
      <w:marLeft w:val="0"/>
      <w:marRight w:val="0"/>
      <w:marTop w:val="0"/>
      <w:marBottom w:val="0"/>
      <w:divBdr>
        <w:top w:val="none" w:sz="0" w:space="0" w:color="auto"/>
        <w:left w:val="none" w:sz="0" w:space="0" w:color="auto"/>
        <w:bottom w:val="none" w:sz="0" w:space="0" w:color="auto"/>
        <w:right w:val="none" w:sz="0" w:space="0" w:color="auto"/>
      </w:divBdr>
      <w:divsChild>
        <w:div w:id="90788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WqiWrjqr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2017-03-16T03:27:00Z</dcterms:created>
  <dcterms:modified xsi:type="dcterms:W3CDTF">2017-03-16T03:27:00Z</dcterms:modified>
</cp:coreProperties>
</file>