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11D" w:rsidRDefault="005D5161">
      <w:r>
        <w:rPr>
          <w:noProof/>
        </w:rPr>
        <w:drawing>
          <wp:inline distT="0" distB="0" distL="0" distR="0" wp14:anchorId="4FD5D45A" wp14:editId="11522A96">
            <wp:extent cx="5943600" cy="4930987"/>
            <wp:effectExtent l="0" t="0" r="0" b="3175"/>
            <wp:docPr id="1" name="Picture 1" descr="E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5D5161" w:rsidRPr="005D5161" w:rsidRDefault="005D5161" w:rsidP="005D5161">
      <w:pPr>
        <w:spacing w:after="0" w:line="240" w:lineRule="auto"/>
        <w:rPr>
          <w:rFonts w:ascii="Times New Roman" w:eastAsia="Times New Roman" w:hAnsi="Times New Roman" w:cs="Times New Roman"/>
          <w:sz w:val="24"/>
          <w:szCs w:val="24"/>
        </w:rPr>
      </w:pPr>
      <w:r w:rsidRPr="005D5161">
        <w:rPr>
          <w:rFonts w:ascii="Times New Roman" w:eastAsia="Times New Roman" w:hAnsi="Times New Roman" w:cs="Times New Roman"/>
          <w:sz w:val="24"/>
          <w:szCs w:val="24"/>
        </w:rPr>
        <w:t xml:space="preserve">Bottom Line </w:t>
      </w:r>
    </w:p>
    <w:p w:rsidR="005D5161" w:rsidRPr="005D5161" w:rsidRDefault="005D5161" w:rsidP="005D5161">
      <w:pPr>
        <w:spacing w:before="100" w:beforeAutospacing="1" w:after="100" w:afterAutospacing="1" w:line="240" w:lineRule="auto"/>
        <w:ind w:left="720"/>
        <w:rPr>
          <w:rFonts w:ascii="Times New Roman" w:eastAsia="Times New Roman" w:hAnsi="Times New Roman" w:cs="Times New Roman"/>
          <w:sz w:val="24"/>
          <w:szCs w:val="24"/>
        </w:rPr>
      </w:pPr>
      <w:r w:rsidRPr="005D5161">
        <w:rPr>
          <w:rFonts w:ascii="Times New Roman" w:eastAsia="Times New Roman" w:hAnsi="Times New Roman" w:cs="Times New Roman"/>
          <w:sz w:val="24"/>
          <w:szCs w:val="24"/>
        </w:rPr>
        <w:t>9/11:</w:t>
      </w:r>
      <w:r w:rsidRPr="005D5161">
        <w:rPr>
          <w:rFonts w:ascii="Times New Roman" w:eastAsia="Times New Roman" w:hAnsi="Times New Roman" w:cs="Times New Roman"/>
          <w:sz w:val="24"/>
          <w:szCs w:val="24"/>
        </w:rPr>
        <w:br/>
        <w:t xml:space="preserve">Daily Trend: </w:t>
      </w:r>
      <w:r w:rsidRPr="005D5161">
        <w:rPr>
          <w:rFonts w:ascii="Times New Roman" w:eastAsia="Times New Roman" w:hAnsi="Times New Roman" w:cs="Times New Roman"/>
          <w:color w:val="FF0000"/>
          <w:sz w:val="24"/>
          <w:szCs w:val="24"/>
        </w:rPr>
        <w:t>Down</w:t>
      </w:r>
      <w:r w:rsidRPr="005D5161">
        <w:rPr>
          <w:rFonts w:ascii="Times New Roman" w:eastAsia="Times New Roman" w:hAnsi="Times New Roman" w:cs="Times New Roman"/>
          <w:sz w:val="24"/>
          <w:szCs w:val="24"/>
        </w:rPr>
        <w:br/>
        <w:t xml:space="preserve">Weekly Trend: </w:t>
      </w:r>
      <w:r w:rsidRPr="005D5161">
        <w:rPr>
          <w:rFonts w:ascii="Times New Roman" w:eastAsia="Times New Roman" w:hAnsi="Times New Roman" w:cs="Times New Roman"/>
          <w:color w:val="00FF00"/>
          <w:sz w:val="24"/>
          <w:szCs w:val="24"/>
        </w:rPr>
        <w:t>Up</w:t>
      </w:r>
      <w:r w:rsidRPr="005D5161">
        <w:rPr>
          <w:rFonts w:ascii="Times New Roman" w:eastAsia="Times New Roman" w:hAnsi="Times New Roman" w:cs="Times New Roman"/>
          <w:sz w:val="24"/>
          <w:szCs w:val="24"/>
        </w:rPr>
        <w:br/>
        <w:t xml:space="preserve">Monthly Trend: </w:t>
      </w:r>
      <w:r w:rsidRPr="005D5161">
        <w:rPr>
          <w:rFonts w:ascii="Times New Roman" w:eastAsia="Times New Roman" w:hAnsi="Times New Roman" w:cs="Times New Roman"/>
          <w:color w:val="00FF00"/>
          <w:sz w:val="24"/>
          <w:szCs w:val="24"/>
        </w:rPr>
        <w:t>Up</w:t>
      </w:r>
      <w:r w:rsidRPr="005D5161">
        <w:rPr>
          <w:rFonts w:ascii="Times New Roman" w:eastAsia="Times New Roman" w:hAnsi="Times New Roman" w:cs="Times New Roman"/>
          <w:color w:val="00FF00"/>
          <w:sz w:val="24"/>
          <w:szCs w:val="24"/>
        </w:rPr>
        <w:br/>
      </w:r>
      <w:r w:rsidRPr="005D5161">
        <w:rPr>
          <w:rFonts w:ascii="Times New Roman" w:eastAsia="Times New Roman" w:hAnsi="Times New Roman" w:cs="Times New Roman"/>
          <w:color w:val="808080"/>
          <w:sz w:val="24"/>
          <w:szCs w:val="24"/>
        </w:rPr>
        <w:t>Support levels: $1.26 / $1.00</w:t>
      </w:r>
      <w:r w:rsidRPr="005D5161">
        <w:rPr>
          <w:rFonts w:ascii="Times New Roman" w:eastAsia="Times New Roman" w:hAnsi="Times New Roman" w:cs="Times New Roman"/>
          <w:color w:val="00FF00"/>
          <w:sz w:val="24"/>
          <w:szCs w:val="24"/>
        </w:rPr>
        <w:br/>
      </w:r>
      <w:r w:rsidRPr="005D5161">
        <w:rPr>
          <w:rFonts w:ascii="Times New Roman" w:eastAsia="Times New Roman" w:hAnsi="Times New Roman" w:cs="Times New Roman"/>
          <w:color w:val="808080"/>
          <w:sz w:val="24"/>
          <w:szCs w:val="24"/>
        </w:rPr>
        <w:t>Resistance levels: $1.685 / $2.14 - $2.27</w:t>
      </w:r>
    </w:p>
    <w:p w:rsidR="005D5161" w:rsidRPr="005D5161" w:rsidRDefault="005D5161" w:rsidP="005D5161">
      <w:pPr>
        <w:spacing w:after="0" w:line="240" w:lineRule="auto"/>
        <w:rPr>
          <w:rFonts w:ascii="Times New Roman" w:eastAsia="Times New Roman" w:hAnsi="Times New Roman" w:cs="Times New Roman"/>
          <w:sz w:val="24"/>
          <w:szCs w:val="24"/>
        </w:rPr>
      </w:pPr>
      <w:r w:rsidRPr="005D5161">
        <w:rPr>
          <w:rFonts w:ascii="Times New Roman" w:eastAsia="Times New Roman" w:hAnsi="Times New Roman" w:cs="Times New Roman"/>
          <w:sz w:val="24"/>
          <w:szCs w:val="24"/>
        </w:rPr>
        <w:t xml:space="preserve">Video Analysis </w:t>
      </w:r>
    </w:p>
    <w:p w:rsidR="005D5161" w:rsidRPr="005D5161" w:rsidRDefault="005D5161" w:rsidP="005D5161">
      <w:pPr>
        <w:spacing w:after="0" w:line="240" w:lineRule="auto"/>
        <w:ind w:left="720"/>
        <w:rPr>
          <w:rFonts w:ascii="Times New Roman" w:eastAsia="Times New Roman" w:hAnsi="Times New Roman" w:cs="Times New Roman"/>
          <w:sz w:val="24"/>
          <w:szCs w:val="24"/>
        </w:rPr>
      </w:pPr>
      <w:hyperlink r:id="rId5" w:tgtFrame="_blank" w:history="1">
        <w:r w:rsidRPr="005D5161">
          <w:rPr>
            <w:rFonts w:ascii="Times New Roman" w:eastAsia="Times New Roman" w:hAnsi="Times New Roman" w:cs="Times New Roman"/>
            <w:color w:val="0000FF"/>
            <w:sz w:val="24"/>
            <w:szCs w:val="24"/>
            <w:u w:val="single"/>
          </w:rPr>
          <w:t xml:space="preserve">Watch Video Analysis Here </w:t>
        </w:r>
      </w:hyperlink>
    </w:p>
    <w:p w:rsidR="005D5161" w:rsidRPr="005D5161" w:rsidRDefault="005D5161" w:rsidP="005D5161">
      <w:pPr>
        <w:spacing w:after="0" w:line="240" w:lineRule="auto"/>
        <w:rPr>
          <w:rFonts w:ascii="Times New Roman" w:eastAsia="Times New Roman" w:hAnsi="Times New Roman" w:cs="Times New Roman"/>
          <w:sz w:val="24"/>
          <w:szCs w:val="24"/>
        </w:rPr>
      </w:pPr>
      <w:r w:rsidRPr="005D5161">
        <w:rPr>
          <w:rFonts w:ascii="Times New Roman" w:eastAsia="Times New Roman" w:hAnsi="Times New Roman" w:cs="Times New Roman"/>
          <w:sz w:val="24"/>
          <w:szCs w:val="24"/>
        </w:rPr>
        <w:t xml:space="preserve">Technical Discussion </w:t>
      </w:r>
    </w:p>
    <w:p w:rsidR="005D5161" w:rsidRPr="005D5161" w:rsidRDefault="005D5161" w:rsidP="005D5161">
      <w:pPr>
        <w:spacing w:before="100" w:beforeAutospacing="1" w:after="100" w:afterAutospacing="1" w:line="240" w:lineRule="auto"/>
        <w:ind w:left="720"/>
        <w:rPr>
          <w:rFonts w:ascii="Times New Roman" w:eastAsia="Times New Roman" w:hAnsi="Times New Roman" w:cs="Times New Roman"/>
          <w:sz w:val="24"/>
          <w:szCs w:val="24"/>
        </w:rPr>
      </w:pPr>
      <w:r w:rsidRPr="005D5161">
        <w:rPr>
          <w:rFonts w:ascii="Times New Roman" w:eastAsia="Times New Roman" w:hAnsi="Times New Roman" w:cs="Times New Roman"/>
          <w:sz w:val="24"/>
          <w:szCs w:val="24"/>
        </w:rPr>
        <w:t xml:space="preserve">Evolution Mining owns 5 gold and silver mines in Queensland and Western Australia and retains a 100% interest in all of them.  The company was formed in October 2011 via a merger between </w:t>
      </w:r>
      <w:proofErr w:type="spellStart"/>
      <w:r w:rsidRPr="005D5161">
        <w:rPr>
          <w:rFonts w:ascii="Times New Roman" w:eastAsia="Times New Roman" w:hAnsi="Times New Roman" w:cs="Times New Roman"/>
          <w:sz w:val="24"/>
          <w:szCs w:val="24"/>
        </w:rPr>
        <w:t>Catalpha</w:t>
      </w:r>
      <w:proofErr w:type="spellEnd"/>
      <w:r w:rsidRPr="005D5161">
        <w:rPr>
          <w:rFonts w:ascii="Times New Roman" w:eastAsia="Times New Roman" w:hAnsi="Times New Roman" w:cs="Times New Roman"/>
          <w:sz w:val="24"/>
          <w:szCs w:val="24"/>
        </w:rPr>
        <w:t xml:space="preserve"> Resources and Conquest Mining.  Recent results were lower than most brokers and </w:t>
      </w:r>
      <w:proofErr w:type="gramStart"/>
      <w:r w:rsidRPr="005D5161">
        <w:rPr>
          <w:rFonts w:ascii="Times New Roman" w:eastAsia="Times New Roman" w:hAnsi="Times New Roman" w:cs="Times New Roman"/>
          <w:sz w:val="24"/>
          <w:szCs w:val="24"/>
        </w:rPr>
        <w:t>analysts</w:t>
      </w:r>
      <w:proofErr w:type="gramEnd"/>
      <w:r w:rsidRPr="005D5161">
        <w:rPr>
          <w:rFonts w:ascii="Times New Roman" w:eastAsia="Times New Roman" w:hAnsi="Times New Roman" w:cs="Times New Roman"/>
          <w:sz w:val="24"/>
          <w:szCs w:val="24"/>
        </w:rPr>
        <w:t xml:space="preserve"> forecasts though it has turned the corner in being cash flow positive this year.  The company’s full year production guidance of between 400 – </w:t>
      </w:r>
      <w:r w:rsidRPr="005D5161">
        <w:rPr>
          <w:rFonts w:ascii="Times New Roman" w:eastAsia="Times New Roman" w:hAnsi="Times New Roman" w:cs="Times New Roman"/>
          <w:sz w:val="24"/>
          <w:szCs w:val="24"/>
        </w:rPr>
        <w:lastRenderedPageBreak/>
        <w:t>450,000 ounces of gold should be attainable.  Dividend yield is 1.73%.</w:t>
      </w:r>
      <w:r w:rsidRPr="005D5161">
        <w:rPr>
          <w:rFonts w:ascii="Times New Roman" w:eastAsia="Times New Roman" w:hAnsi="Times New Roman" w:cs="Times New Roman"/>
          <w:sz w:val="24"/>
          <w:szCs w:val="24"/>
        </w:rPr>
        <w:br/>
        <w:t xml:space="preserve">  </w:t>
      </w:r>
      <w:r w:rsidRPr="005D5161">
        <w:rPr>
          <w:rFonts w:ascii="Times New Roman" w:eastAsia="Times New Roman" w:hAnsi="Times New Roman" w:cs="Times New Roman"/>
          <w:sz w:val="24"/>
          <w:szCs w:val="24"/>
        </w:rPr>
        <w:br/>
        <w:t xml:space="preserve">Reasons to be optimistic longer term: </w:t>
      </w:r>
      <w:r w:rsidRPr="005D5161">
        <w:rPr>
          <w:rFonts w:ascii="Times New Roman" w:eastAsia="Times New Roman" w:hAnsi="Times New Roman" w:cs="Times New Roman"/>
          <w:sz w:val="24"/>
          <w:szCs w:val="24"/>
        </w:rPr>
        <w:br/>
        <w:t>→ Gold hedging is in position which secures strong margins for a part of production, adding cash-flow security.</w:t>
      </w:r>
      <w:r w:rsidRPr="005D5161">
        <w:rPr>
          <w:rFonts w:ascii="Times New Roman" w:eastAsia="Times New Roman" w:hAnsi="Times New Roman" w:cs="Times New Roman"/>
          <w:sz w:val="24"/>
          <w:szCs w:val="24"/>
        </w:rPr>
        <w:br/>
        <w:t xml:space="preserve">→ The </w:t>
      </w:r>
      <w:proofErr w:type="spellStart"/>
      <w:r w:rsidRPr="005D5161">
        <w:rPr>
          <w:rFonts w:ascii="Times New Roman" w:eastAsia="Times New Roman" w:hAnsi="Times New Roman" w:cs="Times New Roman"/>
          <w:sz w:val="24"/>
          <w:szCs w:val="24"/>
        </w:rPr>
        <w:t>Cowal</w:t>
      </w:r>
      <w:proofErr w:type="spellEnd"/>
      <w:r w:rsidRPr="005D5161">
        <w:rPr>
          <w:rFonts w:ascii="Times New Roman" w:eastAsia="Times New Roman" w:hAnsi="Times New Roman" w:cs="Times New Roman"/>
          <w:sz w:val="24"/>
          <w:szCs w:val="24"/>
        </w:rPr>
        <w:t xml:space="preserve"> acquisition should increase earnings and cash flow.</w:t>
      </w:r>
      <w:r w:rsidRPr="005D5161">
        <w:rPr>
          <w:rFonts w:ascii="Times New Roman" w:eastAsia="Times New Roman" w:hAnsi="Times New Roman" w:cs="Times New Roman"/>
          <w:sz w:val="24"/>
          <w:szCs w:val="24"/>
        </w:rPr>
        <w:br/>
        <w:t>→ The recent acquisition of La Mancha increases scale.</w:t>
      </w:r>
      <w:r w:rsidRPr="005D5161">
        <w:rPr>
          <w:rFonts w:ascii="Times New Roman" w:eastAsia="Times New Roman" w:hAnsi="Times New Roman" w:cs="Times New Roman"/>
          <w:sz w:val="24"/>
          <w:szCs w:val="24"/>
        </w:rPr>
        <w:br/>
        <w:t>→ Financing terms have been renegotiated for the better.</w:t>
      </w:r>
      <w:r w:rsidRPr="005D5161">
        <w:rPr>
          <w:rFonts w:ascii="Times New Roman" w:eastAsia="Times New Roman" w:hAnsi="Times New Roman" w:cs="Times New Roman"/>
          <w:sz w:val="24"/>
          <w:szCs w:val="24"/>
        </w:rPr>
        <w:br/>
        <w:t>→ Five equally sized Gold mines provide reliable production figures.</w:t>
      </w:r>
      <w:r w:rsidRPr="005D5161">
        <w:rPr>
          <w:rFonts w:ascii="Times New Roman" w:eastAsia="Times New Roman" w:hAnsi="Times New Roman" w:cs="Times New Roman"/>
          <w:sz w:val="24"/>
          <w:szCs w:val="24"/>
        </w:rPr>
        <w:br/>
        <w:t xml:space="preserve">→ There is potential to prolong mine life from the existing 4.7 years. </w:t>
      </w:r>
      <w:r w:rsidRPr="005D5161">
        <w:rPr>
          <w:rFonts w:ascii="Times New Roman" w:eastAsia="Times New Roman" w:hAnsi="Times New Roman" w:cs="Times New Roman"/>
          <w:sz w:val="24"/>
          <w:szCs w:val="24"/>
        </w:rPr>
        <w:br/>
        <w:t>→ It’s highly leveraged to a rising Gold price in A$.</w:t>
      </w:r>
    </w:p>
    <w:p w:rsidR="005D5161" w:rsidRPr="005D5161" w:rsidRDefault="005D5161" w:rsidP="005D5161">
      <w:pPr>
        <w:spacing w:before="100" w:beforeAutospacing="1" w:after="100" w:afterAutospacing="1" w:line="240" w:lineRule="auto"/>
        <w:ind w:left="720"/>
        <w:rPr>
          <w:rFonts w:ascii="Times New Roman" w:eastAsia="Times New Roman" w:hAnsi="Times New Roman" w:cs="Times New Roman"/>
          <w:sz w:val="24"/>
          <w:szCs w:val="24"/>
        </w:rPr>
      </w:pPr>
      <w:r w:rsidRPr="005D5161">
        <w:rPr>
          <w:rFonts w:ascii="Times New Roman" w:eastAsia="Times New Roman" w:hAnsi="Times New Roman" w:cs="Times New Roman"/>
          <w:sz w:val="24"/>
          <w:szCs w:val="24"/>
        </w:rPr>
        <w:t xml:space="preserve">There were a couple of things to keep a close eye on during our last look at EVN with the first being a gap that had been left.  Secondly, there was also bearish divergence in position although at that stage it hadn’t triggered.  As it turns out the bearish divergence proved to be significant with price reversing lower almost immediately.  The one thing we can’t ignore is the turnaround in the price of gold itself, with all gold Miners suffering as a consequence.  Having said that, the likes of EVN shown here and SBM have been rocketing higher with a serious degree of attitude over the past few months which puts the recent pull-back into perspective.  I won’t go into the reasons for the decline in the yellow metal itself as we took a look at this in Thursday’s review of the Gold Sub Sector (XGD).  One thing’s for sure though, if gold continues its decline the door is open for Evolution to head back down to old resistance/new support.  I’m going to go back to the weekly time frame this evening as it clearly demonstrates that lower prices are not only likely, but also healthy when looking at the larger degree patterns.  It’s also worth noting that the movement south over the past three weeks has been impulsive in nature meaning a larger 3-leg corrective pattern down is more than feasible.  Should this be correct we are only in the first stage of a 3-wave counter trend movement. </w:t>
      </w:r>
    </w:p>
    <w:p w:rsidR="005D5161" w:rsidRPr="005D5161" w:rsidRDefault="005D5161" w:rsidP="005D5161">
      <w:pPr>
        <w:spacing w:after="0" w:line="240" w:lineRule="auto"/>
        <w:rPr>
          <w:rFonts w:ascii="Times New Roman" w:eastAsia="Times New Roman" w:hAnsi="Times New Roman" w:cs="Times New Roman"/>
          <w:sz w:val="24"/>
          <w:szCs w:val="24"/>
        </w:rPr>
      </w:pPr>
      <w:r w:rsidRPr="005D5161">
        <w:rPr>
          <w:rFonts w:ascii="Times New Roman" w:eastAsia="Times New Roman" w:hAnsi="Times New Roman" w:cs="Times New Roman"/>
          <w:sz w:val="24"/>
          <w:szCs w:val="24"/>
        </w:rPr>
        <w:t xml:space="preserve">Trading Strategy </w:t>
      </w:r>
    </w:p>
    <w:p w:rsidR="005D5161" w:rsidRPr="005D5161" w:rsidRDefault="005D5161" w:rsidP="005D5161">
      <w:pPr>
        <w:spacing w:before="100" w:beforeAutospacing="1" w:after="100" w:afterAutospacing="1" w:line="240" w:lineRule="auto"/>
        <w:ind w:left="720"/>
        <w:rPr>
          <w:rFonts w:ascii="Times New Roman" w:eastAsia="Times New Roman" w:hAnsi="Times New Roman" w:cs="Times New Roman"/>
          <w:sz w:val="24"/>
          <w:szCs w:val="24"/>
        </w:rPr>
      </w:pPr>
      <w:r w:rsidRPr="005D5161">
        <w:rPr>
          <w:rFonts w:ascii="Times New Roman" w:eastAsia="Times New Roman" w:hAnsi="Times New Roman" w:cs="Times New Roman"/>
          <w:sz w:val="24"/>
          <w:szCs w:val="24"/>
        </w:rPr>
        <w:t>Although the sector and EVN are looking a little oversold over the short-term there is no reason to be looking for a buying opportunity quite yet.  Yes, a bounce could ensue pretty much immediately although I wouldn’t be looking to trade it as upside is looking limited at this stage.  Should our wanted 3-wave correction take hold we’ll be on the lookout for a chance to jump on nearer the line of support as annotated.  As we are looking at the larger degree patterns here, any subsequent correction is likely going to take weeks as opposed to days meaning some patience is going to be required.</w:t>
      </w:r>
    </w:p>
    <w:p w:rsidR="005D5161" w:rsidRDefault="005D5161">
      <w:bookmarkStart w:id="0" w:name="_GoBack"/>
      <w:bookmarkEnd w:id="0"/>
    </w:p>
    <w:p w:rsidR="005D5161" w:rsidRDefault="005D5161"/>
    <w:sectPr w:rsidR="005D51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161"/>
    <w:rsid w:val="005D5161"/>
    <w:rsid w:val="00C20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D7308"/>
  <w15:chartTrackingRefBased/>
  <w15:docId w15:val="{672E3C31-EA1D-4B18-866F-92CF3CE9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obNUCb0yzuv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2015-12-07T03:00:00Z</dcterms:created>
  <dcterms:modified xsi:type="dcterms:W3CDTF">2015-12-07T03:01:00Z</dcterms:modified>
</cp:coreProperties>
</file>