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2B0" w:rsidRDefault="000331B5">
      <w:r>
        <w:rPr>
          <w:noProof/>
        </w:rPr>
        <w:drawing>
          <wp:inline distT="0" distB="0" distL="0" distR="0" wp14:anchorId="74B9E35F" wp14:editId="29E5AB2E">
            <wp:extent cx="5943600" cy="4930987"/>
            <wp:effectExtent l="0" t="0" r="0" b="3175"/>
            <wp:docPr id="4" name="Picture 4" descr="C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S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0331B5" w:rsidRDefault="000331B5"/>
    <w:p w:rsidR="000331B5" w:rsidRPr="000331B5" w:rsidRDefault="000331B5" w:rsidP="000331B5">
      <w:pPr>
        <w:spacing w:after="0" w:line="240" w:lineRule="auto"/>
        <w:rPr>
          <w:rFonts w:ascii="Times New Roman" w:eastAsia="Times New Roman" w:hAnsi="Times New Roman" w:cs="Times New Roman"/>
          <w:sz w:val="24"/>
          <w:szCs w:val="24"/>
        </w:rPr>
      </w:pPr>
      <w:r w:rsidRPr="000331B5">
        <w:rPr>
          <w:rFonts w:ascii="Times New Roman" w:eastAsia="Times New Roman" w:hAnsi="Times New Roman" w:cs="Times New Roman"/>
          <w:sz w:val="24"/>
          <w:szCs w:val="24"/>
        </w:rPr>
        <w:t xml:space="preserve">Bottom Line </w:t>
      </w:r>
    </w:p>
    <w:p w:rsidR="000331B5" w:rsidRPr="000331B5" w:rsidRDefault="000331B5" w:rsidP="000331B5">
      <w:pPr>
        <w:spacing w:before="100" w:beforeAutospacing="1" w:after="100" w:afterAutospacing="1" w:line="240" w:lineRule="auto"/>
        <w:ind w:left="720"/>
        <w:rPr>
          <w:rFonts w:ascii="Times New Roman" w:eastAsia="Times New Roman" w:hAnsi="Times New Roman" w:cs="Times New Roman"/>
          <w:sz w:val="24"/>
          <w:szCs w:val="24"/>
        </w:rPr>
      </w:pPr>
      <w:r w:rsidRPr="000331B5">
        <w:rPr>
          <w:rFonts w:ascii="Times New Roman" w:eastAsia="Times New Roman" w:hAnsi="Times New Roman" w:cs="Times New Roman"/>
          <w:sz w:val="24"/>
          <w:szCs w:val="24"/>
        </w:rPr>
        <w:t>21/9:</w:t>
      </w:r>
      <w:r w:rsidRPr="000331B5">
        <w:rPr>
          <w:rFonts w:ascii="Times New Roman" w:eastAsia="Times New Roman" w:hAnsi="Times New Roman" w:cs="Times New Roman"/>
          <w:sz w:val="24"/>
          <w:szCs w:val="24"/>
        </w:rPr>
        <w:br/>
        <w:t xml:space="preserve">Daily Trend: </w:t>
      </w:r>
      <w:r w:rsidRPr="000331B5">
        <w:rPr>
          <w:rFonts w:ascii="Times New Roman" w:eastAsia="Times New Roman" w:hAnsi="Times New Roman" w:cs="Times New Roman"/>
          <w:color w:val="00FF00"/>
          <w:sz w:val="24"/>
          <w:szCs w:val="24"/>
        </w:rPr>
        <w:t>Up</w:t>
      </w:r>
      <w:r w:rsidRPr="000331B5">
        <w:rPr>
          <w:rFonts w:ascii="Times New Roman" w:eastAsia="Times New Roman" w:hAnsi="Times New Roman" w:cs="Times New Roman"/>
          <w:sz w:val="24"/>
          <w:szCs w:val="24"/>
        </w:rPr>
        <w:br/>
        <w:t xml:space="preserve">Weekly Trend: </w:t>
      </w:r>
      <w:r w:rsidRPr="000331B5">
        <w:rPr>
          <w:rFonts w:ascii="Times New Roman" w:eastAsia="Times New Roman" w:hAnsi="Times New Roman" w:cs="Times New Roman"/>
          <w:color w:val="00FF00"/>
          <w:sz w:val="24"/>
          <w:szCs w:val="24"/>
        </w:rPr>
        <w:t>Up</w:t>
      </w:r>
      <w:r w:rsidRPr="000331B5">
        <w:rPr>
          <w:rFonts w:ascii="Times New Roman" w:eastAsia="Times New Roman" w:hAnsi="Times New Roman" w:cs="Times New Roman"/>
          <w:sz w:val="24"/>
          <w:szCs w:val="24"/>
        </w:rPr>
        <w:br/>
        <w:t xml:space="preserve">Monthly Trend: </w:t>
      </w:r>
      <w:r w:rsidRPr="000331B5">
        <w:rPr>
          <w:rFonts w:ascii="Times New Roman" w:eastAsia="Times New Roman" w:hAnsi="Times New Roman" w:cs="Times New Roman"/>
          <w:color w:val="00FF00"/>
          <w:sz w:val="24"/>
          <w:szCs w:val="24"/>
        </w:rPr>
        <w:t>Up</w:t>
      </w:r>
      <w:r w:rsidRPr="000331B5">
        <w:rPr>
          <w:rFonts w:ascii="Times New Roman" w:eastAsia="Times New Roman" w:hAnsi="Times New Roman" w:cs="Times New Roman"/>
          <w:color w:val="0000FF"/>
          <w:sz w:val="24"/>
          <w:szCs w:val="24"/>
        </w:rPr>
        <w:br/>
      </w:r>
      <w:r w:rsidRPr="000331B5">
        <w:rPr>
          <w:rFonts w:ascii="Times New Roman" w:eastAsia="Times New Roman" w:hAnsi="Times New Roman" w:cs="Times New Roman"/>
          <w:color w:val="808080"/>
          <w:sz w:val="24"/>
          <w:szCs w:val="24"/>
        </w:rPr>
        <w:t>Support levels: $118.31 / $112.</w:t>
      </w:r>
      <w:proofErr w:type="gramStart"/>
      <w:r w:rsidRPr="000331B5">
        <w:rPr>
          <w:rFonts w:ascii="Times New Roman" w:eastAsia="Times New Roman" w:hAnsi="Times New Roman" w:cs="Times New Roman"/>
          <w:color w:val="808080"/>
          <w:sz w:val="24"/>
          <w:szCs w:val="24"/>
        </w:rPr>
        <w:t>01  $</w:t>
      </w:r>
      <w:proofErr w:type="gramEnd"/>
      <w:r w:rsidRPr="000331B5">
        <w:rPr>
          <w:rFonts w:ascii="Times New Roman" w:eastAsia="Times New Roman" w:hAnsi="Times New Roman" w:cs="Times New Roman"/>
          <w:color w:val="808080"/>
          <w:sz w:val="24"/>
          <w:szCs w:val="24"/>
        </w:rPr>
        <w:t>108.68</w:t>
      </w:r>
      <w:r w:rsidRPr="000331B5">
        <w:rPr>
          <w:rFonts w:ascii="Times New Roman" w:eastAsia="Times New Roman" w:hAnsi="Times New Roman" w:cs="Times New Roman"/>
          <w:color w:val="0000FF"/>
          <w:sz w:val="24"/>
          <w:szCs w:val="24"/>
        </w:rPr>
        <w:br/>
      </w:r>
      <w:r w:rsidRPr="000331B5">
        <w:rPr>
          <w:rFonts w:ascii="Times New Roman" w:eastAsia="Times New Roman" w:hAnsi="Times New Roman" w:cs="Times New Roman"/>
          <w:color w:val="808080"/>
          <w:sz w:val="24"/>
          <w:szCs w:val="24"/>
        </w:rPr>
        <w:t>Resistance levels: $145.00</w:t>
      </w:r>
    </w:p>
    <w:p w:rsidR="000331B5" w:rsidRPr="000331B5" w:rsidRDefault="000331B5" w:rsidP="000331B5">
      <w:pPr>
        <w:spacing w:after="0" w:line="240" w:lineRule="auto"/>
        <w:rPr>
          <w:rFonts w:ascii="Times New Roman" w:eastAsia="Times New Roman" w:hAnsi="Times New Roman" w:cs="Times New Roman"/>
          <w:sz w:val="24"/>
          <w:szCs w:val="24"/>
        </w:rPr>
      </w:pPr>
      <w:r w:rsidRPr="000331B5">
        <w:rPr>
          <w:rFonts w:ascii="Times New Roman" w:eastAsia="Times New Roman" w:hAnsi="Times New Roman" w:cs="Times New Roman"/>
          <w:sz w:val="24"/>
          <w:szCs w:val="24"/>
        </w:rPr>
        <w:t xml:space="preserve">Video Analysis </w:t>
      </w:r>
    </w:p>
    <w:p w:rsidR="000331B5" w:rsidRPr="000331B5" w:rsidRDefault="000331B5" w:rsidP="000331B5">
      <w:pPr>
        <w:spacing w:after="0" w:line="240" w:lineRule="auto"/>
        <w:ind w:left="720"/>
        <w:rPr>
          <w:rFonts w:ascii="Times New Roman" w:eastAsia="Times New Roman" w:hAnsi="Times New Roman" w:cs="Times New Roman"/>
          <w:sz w:val="24"/>
          <w:szCs w:val="24"/>
        </w:rPr>
      </w:pPr>
      <w:hyperlink r:id="rId5" w:tgtFrame="_blank" w:history="1">
        <w:r w:rsidRPr="000331B5">
          <w:rPr>
            <w:rFonts w:ascii="Times New Roman" w:eastAsia="Times New Roman" w:hAnsi="Times New Roman" w:cs="Times New Roman"/>
            <w:color w:val="0000FF"/>
            <w:sz w:val="24"/>
            <w:szCs w:val="24"/>
            <w:u w:val="single"/>
          </w:rPr>
          <w:t xml:space="preserve">Watch Video Analysis Here </w:t>
        </w:r>
      </w:hyperlink>
    </w:p>
    <w:p w:rsidR="000331B5" w:rsidRPr="000331B5" w:rsidRDefault="000331B5" w:rsidP="000331B5">
      <w:pPr>
        <w:spacing w:after="0" w:line="240" w:lineRule="auto"/>
        <w:rPr>
          <w:rFonts w:ascii="Times New Roman" w:eastAsia="Times New Roman" w:hAnsi="Times New Roman" w:cs="Times New Roman"/>
          <w:sz w:val="24"/>
          <w:szCs w:val="24"/>
        </w:rPr>
      </w:pPr>
      <w:r w:rsidRPr="000331B5">
        <w:rPr>
          <w:rFonts w:ascii="Times New Roman" w:eastAsia="Times New Roman" w:hAnsi="Times New Roman" w:cs="Times New Roman"/>
          <w:sz w:val="24"/>
          <w:szCs w:val="24"/>
        </w:rPr>
        <w:t xml:space="preserve">Technical Discussion </w:t>
      </w:r>
    </w:p>
    <w:p w:rsidR="000331B5" w:rsidRPr="000331B5" w:rsidRDefault="000331B5" w:rsidP="000331B5">
      <w:pPr>
        <w:spacing w:before="100" w:beforeAutospacing="1" w:after="100" w:afterAutospacing="1" w:line="240" w:lineRule="auto"/>
        <w:ind w:left="720"/>
        <w:rPr>
          <w:rFonts w:ascii="Times New Roman" w:eastAsia="Times New Roman" w:hAnsi="Times New Roman" w:cs="Times New Roman"/>
          <w:sz w:val="24"/>
          <w:szCs w:val="24"/>
        </w:rPr>
      </w:pPr>
      <w:r w:rsidRPr="000331B5">
        <w:rPr>
          <w:rFonts w:ascii="Times New Roman" w:eastAsia="Times New Roman" w:hAnsi="Times New Roman" w:cs="Times New Roman"/>
          <w:sz w:val="24"/>
          <w:szCs w:val="24"/>
        </w:rPr>
        <w:t xml:space="preserve">CSL conducts research of biopharmaceutical products.  Following positive results, it continues into the development and manufacturing stages before distributing the product.  It operates in three segments; CSL Behring, Intellectual Property licensing and </w:t>
      </w:r>
      <w:r w:rsidRPr="000331B5">
        <w:rPr>
          <w:rFonts w:ascii="Times New Roman" w:eastAsia="Times New Roman" w:hAnsi="Times New Roman" w:cs="Times New Roman"/>
          <w:sz w:val="24"/>
          <w:szCs w:val="24"/>
        </w:rPr>
        <w:lastRenderedPageBreak/>
        <w:t>Other Human Health.  The latter consists of CSL Bioplasma and CSL Biotherapies. Recently the company has acquired the Novartis flu vaccine business now making it the world’s second largest manufacturer. Whilst this may generate near term head-winds, longer term it’s expected to increase its profile significantly and turn a loss maker into a globally competitive business. For the year ending the 30th of June 2017 revenues increased 13% to $6.93B. Net income increased 8% to $1.34B. Revenues highlight the CSL Behring section increase of 11% to $5.84B, the Seqirus section increase of 19% to $785.5M, the United States section increase of 18% to $2.85B and other country increases of 9% to $1.99B. Analyst consensus is currently “Buy”.  The dividend yield is 1.3%.</w:t>
      </w:r>
      <w:r w:rsidRPr="000331B5">
        <w:rPr>
          <w:rFonts w:ascii="Times New Roman" w:eastAsia="Times New Roman" w:hAnsi="Times New Roman" w:cs="Times New Roman"/>
          <w:sz w:val="24"/>
          <w:szCs w:val="24"/>
        </w:rPr>
        <w:br/>
        <w:t> </w:t>
      </w:r>
      <w:r w:rsidRPr="000331B5">
        <w:rPr>
          <w:rFonts w:ascii="Times New Roman" w:eastAsia="Times New Roman" w:hAnsi="Times New Roman" w:cs="Times New Roman"/>
          <w:sz w:val="24"/>
          <w:szCs w:val="24"/>
        </w:rPr>
        <w:br/>
        <w:t>Reasons to remain bullish (short term weakness feasible).</w:t>
      </w:r>
      <w:r w:rsidRPr="000331B5">
        <w:rPr>
          <w:rFonts w:ascii="Times New Roman" w:eastAsia="Times New Roman" w:hAnsi="Times New Roman" w:cs="Times New Roman"/>
          <w:sz w:val="24"/>
          <w:szCs w:val="24"/>
        </w:rPr>
        <w:br/>
        <w:t>→ Exceptional earnings growth anticipated.</w:t>
      </w:r>
      <w:r w:rsidRPr="000331B5">
        <w:rPr>
          <w:rFonts w:ascii="Times New Roman" w:eastAsia="Times New Roman" w:hAnsi="Times New Roman" w:cs="Times New Roman"/>
          <w:sz w:val="24"/>
          <w:szCs w:val="24"/>
        </w:rPr>
        <w:br/>
        <w:t>→ A solid start to the year with Immunoglobulins supply drying up.</w:t>
      </w:r>
      <w:r w:rsidRPr="000331B5">
        <w:rPr>
          <w:rFonts w:ascii="Times New Roman" w:eastAsia="Times New Roman" w:hAnsi="Times New Roman" w:cs="Times New Roman"/>
          <w:sz w:val="24"/>
          <w:szCs w:val="24"/>
        </w:rPr>
        <w:br/>
        <w:t>→ Very high levels of influenza in Australia should support vaccine uptake.</w:t>
      </w:r>
      <w:r w:rsidRPr="000331B5">
        <w:rPr>
          <w:rFonts w:ascii="Times New Roman" w:eastAsia="Times New Roman" w:hAnsi="Times New Roman" w:cs="Times New Roman"/>
          <w:sz w:val="24"/>
          <w:szCs w:val="24"/>
        </w:rPr>
        <w:br/>
        <w:t>→ The recent launch of Haegarda could be a potential catalyst for the company.</w:t>
      </w:r>
      <w:r w:rsidRPr="000331B5">
        <w:rPr>
          <w:rFonts w:ascii="Times New Roman" w:eastAsia="Times New Roman" w:hAnsi="Times New Roman" w:cs="Times New Roman"/>
          <w:sz w:val="24"/>
          <w:szCs w:val="24"/>
        </w:rPr>
        <w:br/>
        <w:t>→ Acquiring 80% of a Chinese plasma fractionator which should provide a foothold into China.</w:t>
      </w:r>
      <w:r w:rsidRPr="000331B5">
        <w:rPr>
          <w:rFonts w:ascii="Times New Roman" w:eastAsia="Times New Roman" w:hAnsi="Times New Roman" w:cs="Times New Roman"/>
          <w:sz w:val="24"/>
          <w:szCs w:val="24"/>
        </w:rPr>
        <w:br/>
        <w:t>→ Benefiting from the plasma supply bottlenecks as CSL can increase supply.</w:t>
      </w:r>
      <w:r w:rsidRPr="000331B5">
        <w:rPr>
          <w:rFonts w:ascii="Times New Roman" w:eastAsia="Times New Roman" w:hAnsi="Times New Roman" w:cs="Times New Roman"/>
          <w:sz w:val="24"/>
          <w:szCs w:val="24"/>
        </w:rPr>
        <w:br/>
        <w:t>→ New product launches add to near-term growth prospects.</w:t>
      </w:r>
      <w:r w:rsidRPr="000331B5">
        <w:rPr>
          <w:rFonts w:ascii="Times New Roman" w:eastAsia="Times New Roman" w:hAnsi="Times New Roman" w:cs="Times New Roman"/>
          <w:sz w:val="24"/>
          <w:szCs w:val="24"/>
        </w:rPr>
        <w:br/>
        <w:t>→ Ongoing acquisitions offer strong gains in synergy.</w:t>
      </w:r>
    </w:p>
    <w:p w:rsidR="000331B5" w:rsidRPr="000331B5" w:rsidRDefault="000331B5" w:rsidP="000331B5">
      <w:pPr>
        <w:spacing w:before="100" w:beforeAutospacing="1" w:after="100" w:afterAutospacing="1" w:line="240" w:lineRule="auto"/>
        <w:ind w:left="720"/>
        <w:rPr>
          <w:rFonts w:ascii="Times New Roman" w:eastAsia="Times New Roman" w:hAnsi="Times New Roman" w:cs="Times New Roman"/>
          <w:sz w:val="24"/>
          <w:szCs w:val="24"/>
        </w:rPr>
      </w:pPr>
      <w:r w:rsidRPr="000331B5">
        <w:rPr>
          <w:rFonts w:ascii="Times New Roman" w:eastAsia="Times New Roman" w:hAnsi="Times New Roman" w:cs="Times New Roman"/>
          <w:sz w:val="24"/>
          <w:szCs w:val="24"/>
        </w:rPr>
        <w:t xml:space="preserve">Both the larger and smaller degree patterns have been unfolding very nicely for CSL and this trait continues. During our last review we were looking for a bounce only, taking price up toward the $135.00 mark. CSL has now headed into the typical retracement zone with price reversing today in line with the broader market. In other </w:t>
      </w:r>
      <w:proofErr w:type="gramStart"/>
      <w:r w:rsidRPr="000331B5">
        <w:rPr>
          <w:rFonts w:ascii="Times New Roman" w:eastAsia="Times New Roman" w:hAnsi="Times New Roman" w:cs="Times New Roman"/>
          <w:sz w:val="24"/>
          <w:szCs w:val="24"/>
        </w:rPr>
        <w:t>words</w:t>
      </w:r>
      <w:proofErr w:type="gramEnd"/>
      <w:r w:rsidRPr="000331B5">
        <w:rPr>
          <w:rFonts w:ascii="Times New Roman" w:eastAsia="Times New Roman" w:hAnsi="Times New Roman" w:cs="Times New Roman"/>
          <w:sz w:val="24"/>
          <w:szCs w:val="24"/>
        </w:rPr>
        <w:t xml:space="preserve"> we are in a position to see our wanted leg lower. It’s also worth noting that Type-A bearish divergence is in place with price making a higher high over the past couple of days whilst our indicator has made a lower high. It’s not a textbook example as we don’t have the deep “V” that we often talk about although it’s technically in position and as such we must give it respect. Another couple of days of weakness will trigger the divergence which will provide further confirmation that an interim top is in position. Should downside momentum gather pace over the coming weeks there’s every chance that price is going to head down to our target zone as annotated. This consists of the typical retracement zone of the whole prior leg higher off the late 2016 lows. The lower boundary is made up of the wave equality projection although this is assuming today’s high isn’t overcome which is by no means certain at this early stage. It would take a push up through the 61.8% retracement level at $135.07 to suggest a deeper retracement is going to be avoided. However, even if that </w:t>
      </w:r>
      <w:proofErr w:type="gramStart"/>
      <w:r w:rsidRPr="000331B5">
        <w:rPr>
          <w:rFonts w:ascii="Times New Roman" w:eastAsia="Times New Roman" w:hAnsi="Times New Roman" w:cs="Times New Roman"/>
          <w:sz w:val="24"/>
          <w:szCs w:val="24"/>
        </w:rPr>
        <w:t>aforementioned level</w:t>
      </w:r>
      <w:proofErr w:type="gramEnd"/>
      <w:r w:rsidRPr="000331B5">
        <w:rPr>
          <w:rFonts w:ascii="Times New Roman" w:eastAsia="Times New Roman" w:hAnsi="Times New Roman" w:cs="Times New Roman"/>
          <w:sz w:val="24"/>
          <w:szCs w:val="24"/>
        </w:rPr>
        <w:t xml:space="preserve"> is overcome we’d still expect a larger consolidation pattern to form before the strong prior uptrend resumes.</w:t>
      </w:r>
    </w:p>
    <w:p w:rsidR="000331B5" w:rsidRPr="000331B5" w:rsidRDefault="000331B5" w:rsidP="000331B5">
      <w:pPr>
        <w:spacing w:after="0" w:line="240" w:lineRule="auto"/>
        <w:rPr>
          <w:rFonts w:ascii="Times New Roman" w:eastAsia="Times New Roman" w:hAnsi="Times New Roman" w:cs="Times New Roman"/>
          <w:sz w:val="24"/>
          <w:szCs w:val="24"/>
        </w:rPr>
      </w:pPr>
      <w:r w:rsidRPr="000331B5">
        <w:rPr>
          <w:rFonts w:ascii="Times New Roman" w:eastAsia="Times New Roman" w:hAnsi="Times New Roman" w:cs="Times New Roman"/>
          <w:sz w:val="24"/>
          <w:szCs w:val="24"/>
        </w:rPr>
        <w:t xml:space="preserve">Trading Strategy </w:t>
      </w:r>
    </w:p>
    <w:p w:rsidR="000331B5" w:rsidRPr="000331B5" w:rsidRDefault="000331B5" w:rsidP="000331B5">
      <w:pPr>
        <w:spacing w:after="0" w:line="240" w:lineRule="auto"/>
        <w:ind w:left="720"/>
        <w:rPr>
          <w:rFonts w:ascii="Times New Roman" w:eastAsia="Times New Roman" w:hAnsi="Times New Roman" w:cs="Times New Roman"/>
          <w:sz w:val="24"/>
          <w:szCs w:val="24"/>
        </w:rPr>
      </w:pPr>
      <w:r w:rsidRPr="000331B5">
        <w:rPr>
          <w:rFonts w:ascii="Times New Roman" w:eastAsia="Times New Roman" w:hAnsi="Times New Roman" w:cs="Times New Roman"/>
          <w:sz w:val="24"/>
          <w:szCs w:val="24"/>
        </w:rPr>
        <w:t xml:space="preserve">If you are a shorter-term trader looking for shorting opportunities a setup has arisen. Wait until last Fridays low at $129.11 is overcome before jumping on with the initial stop placed just above the prior pivot high which at this stage sits at $134.51 although this could change over the coming days. As already stated, a push above $135.07 takes away </w:t>
      </w:r>
      <w:r w:rsidRPr="000331B5">
        <w:rPr>
          <w:rFonts w:ascii="Times New Roman" w:eastAsia="Times New Roman" w:hAnsi="Times New Roman" w:cs="Times New Roman"/>
          <w:sz w:val="24"/>
          <w:szCs w:val="24"/>
        </w:rPr>
        <w:lastRenderedPageBreak/>
        <w:t>from the downside potential, with pending trades then needing to be cancelled. Look to take profits around the lower boundary of the target circa $112.00 - $108.52.</w:t>
      </w:r>
    </w:p>
    <w:p w:rsidR="000331B5" w:rsidRDefault="000331B5">
      <w:bookmarkStart w:id="0" w:name="_GoBack"/>
      <w:bookmarkEnd w:id="0"/>
    </w:p>
    <w:sectPr w:rsidR="000331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9B1E413-5DB3-49B3-B57D-52E3F06DC182}"/>
    <w:docVar w:name="dgnword-eventsink" w:val="472810728"/>
  </w:docVars>
  <w:rsids>
    <w:rsidRoot w:val="000331B5"/>
    <w:rsid w:val="000331B5"/>
    <w:rsid w:val="00112E1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F4526"/>
  <w15:chartTrackingRefBased/>
  <w15:docId w15:val="{E5554815-0664-45BD-B066-7525BA772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147574">
      <w:bodyDiv w:val="1"/>
      <w:marLeft w:val="0"/>
      <w:marRight w:val="0"/>
      <w:marTop w:val="0"/>
      <w:marBottom w:val="0"/>
      <w:divBdr>
        <w:top w:val="none" w:sz="0" w:space="0" w:color="auto"/>
        <w:left w:val="none" w:sz="0" w:space="0" w:color="auto"/>
        <w:bottom w:val="none" w:sz="0" w:space="0" w:color="auto"/>
        <w:right w:val="none" w:sz="0" w:space="0" w:color="auto"/>
      </w:divBdr>
      <w:divsChild>
        <w:div w:id="154881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4JkxoftXbO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2017-10-23T05:15:00Z</dcterms:created>
  <dcterms:modified xsi:type="dcterms:W3CDTF">2017-10-23T05:16:00Z</dcterms:modified>
</cp:coreProperties>
</file>