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793CEA">
      <w:r>
        <w:rPr>
          <w:noProof/>
        </w:rPr>
        <w:drawing>
          <wp:inline distT="0" distB="0" distL="0" distR="0" wp14:anchorId="0F80FE7F" wp14:editId="6E9414A6">
            <wp:extent cx="5943600" cy="4930987"/>
            <wp:effectExtent l="0" t="0" r="0" b="3175"/>
            <wp:docPr id="3" name="Picture 3"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793CEA" w:rsidRDefault="00793CEA"/>
    <w:p w:rsidR="00793CEA" w:rsidRPr="00793CEA" w:rsidRDefault="00793CEA" w:rsidP="00793CEA">
      <w:pPr>
        <w:spacing w:after="0" w:line="240" w:lineRule="auto"/>
        <w:rPr>
          <w:rFonts w:ascii="Times New Roman" w:eastAsia="Times New Roman" w:hAnsi="Times New Roman" w:cs="Times New Roman"/>
          <w:sz w:val="24"/>
          <w:szCs w:val="24"/>
        </w:rPr>
      </w:pPr>
      <w:r w:rsidRPr="00793CEA">
        <w:rPr>
          <w:rFonts w:ascii="Times New Roman" w:eastAsia="Times New Roman" w:hAnsi="Times New Roman" w:cs="Times New Roman"/>
          <w:sz w:val="24"/>
          <w:szCs w:val="24"/>
        </w:rPr>
        <w:t xml:space="preserve">Bottom Line </w:t>
      </w:r>
    </w:p>
    <w:p w:rsidR="00793CEA" w:rsidRPr="00793CEA" w:rsidRDefault="00793CEA" w:rsidP="00793CEA">
      <w:pPr>
        <w:spacing w:before="100" w:beforeAutospacing="1" w:after="100" w:afterAutospacing="1" w:line="240" w:lineRule="auto"/>
        <w:ind w:left="720"/>
        <w:rPr>
          <w:rFonts w:ascii="Times New Roman" w:eastAsia="Times New Roman" w:hAnsi="Times New Roman" w:cs="Times New Roman"/>
          <w:sz w:val="24"/>
          <w:szCs w:val="24"/>
        </w:rPr>
      </w:pPr>
      <w:r w:rsidRPr="00793CEA">
        <w:rPr>
          <w:rFonts w:ascii="Times New Roman" w:eastAsia="Times New Roman" w:hAnsi="Times New Roman" w:cs="Times New Roman"/>
          <w:sz w:val="24"/>
          <w:szCs w:val="24"/>
        </w:rPr>
        <w:t>22/11:</w:t>
      </w:r>
      <w:r w:rsidRPr="00793CEA">
        <w:rPr>
          <w:rFonts w:ascii="Times New Roman" w:eastAsia="Times New Roman" w:hAnsi="Times New Roman" w:cs="Times New Roman"/>
          <w:sz w:val="24"/>
          <w:szCs w:val="24"/>
        </w:rPr>
        <w:br/>
        <w:t xml:space="preserve">Daily Trend: </w:t>
      </w:r>
      <w:r w:rsidRPr="00793CEA">
        <w:rPr>
          <w:rFonts w:ascii="Times New Roman" w:eastAsia="Times New Roman" w:hAnsi="Times New Roman" w:cs="Times New Roman"/>
          <w:color w:val="00FF00"/>
          <w:sz w:val="24"/>
          <w:szCs w:val="24"/>
        </w:rPr>
        <w:t>Up</w:t>
      </w:r>
      <w:r w:rsidRPr="00793CEA">
        <w:rPr>
          <w:rFonts w:ascii="Times New Roman" w:eastAsia="Times New Roman" w:hAnsi="Times New Roman" w:cs="Times New Roman"/>
          <w:sz w:val="24"/>
          <w:szCs w:val="24"/>
        </w:rPr>
        <w:br/>
        <w:t xml:space="preserve">Weekly Trend: </w:t>
      </w:r>
      <w:r w:rsidRPr="00793CEA">
        <w:rPr>
          <w:rFonts w:ascii="Times New Roman" w:eastAsia="Times New Roman" w:hAnsi="Times New Roman" w:cs="Times New Roman"/>
          <w:color w:val="00FF00"/>
          <w:sz w:val="24"/>
          <w:szCs w:val="24"/>
        </w:rPr>
        <w:t>Up</w:t>
      </w:r>
      <w:r w:rsidRPr="00793CEA">
        <w:rPr>
          <w:rFonts w:ascii="Times New Roman" w:eastAsia="Times New Roman" w:hAnsi="Times New Roman" w:cs="Times New Roman"/>
          <w:sz w:val="24"/>
          <w:szCs w:val="24"/>
        </w:rPr>
        <w:br/>
        <w:t xml:space="preserve">Monthly Trend: </w:t>
      </w:r>
      <w:r w:rsidRPr="00793CEA">
        <w:rPr>
          <w:rFonts w:ascii="Times New Roman" w:eastAsia="Times New Roman" w:hAnsi="Times New Roman" w:cs="Times New Roman"/>
          <w:color w:val="00FF00"/>
          <w:sz w:val="24"/>
          <w:szCs w:val="24"/>
        </w:rPr>
        <w:t>Up</w:t>
      </w:r>
      <w:r w:rsidRPr="00793CEA">
        <w:rPr>
          <w:rFonts w:ascii="Times New Roman" w:eastAsia="Times New Roman" w:hAnsi="Times New Roman" w:cs="Times New Roman"/>
          <w:color w:val="0000FF"/>
          <w:sz w:val="24"/>
          <w:szCs w:val="24"/>
        </w:rPr>
        <w:br/>
      </w:r>
      <w:r w:rsidRPr="00793CEA">
        <w:rPr>
          <w:rFonts w:ascii="Times New Roman" w:eastAsia="Times New Roman" w:hAnsi="Times New Roman" w:cs="Times New Roman"/>
          <w:color w:val="808080"/>
          <w:sz w:val="24"/>
          <w:szCs w:val="24"/>
        </w:rPr>
        <w:t>Support levels: $119.01 - $118.31 / $112.</w:t>
      </w:r>
      <w:proofErr w:type="gramStart"/>
      <w:r w:rsidRPr="00793CEA">
        <w:rPr>
          <w:rFonts w:ascii="Times New Roman" w:eastAsia="Times New Roman" w:hAnsi="Times New Roman" w:cs="Times New Roman"/>
          <w:color w:val="808080"/>
          <w:sz w:val="24"/>
          <w:szCs w:val="24"/>
        </w:rPr>
        <w:t>01  $</w:t>
      </w:r>
      <w:proofErr w:type="gramEnd"/>
      <w:r w:rsidRPr="00793CEA">
        <w:rPr>
          <w:rFonts w:ascii="Times New Roman" w:eastAsia="Times New Roman" w:hAnsi="Times New Roman" w:cs="Times New Roman"/>
          <w:color w:val="808080"/>
          <w:sz w:val="24"/>
          <w:szCs w:val="24"/>
        </w:rPr>
        <w:t>108.68</w:t>
      </w:r>
      <w:r w:rsidRPr="00793CEA">
        <w:rPr>
          <w:rFonts w:ascii="Times New Roman" w:eastAsia="Times New Roman" w:hAnsi="Times New Roman" w:cs="Times New Roman"/>
          <w:color w:val="0000FF"/>
          <w:sz w:val="24"/>
          <w:szCs w:val="24"/>
        </w:rPr>
        <w:br/>
      </w:r>
      <w:r w:rsidRPr="00793CEA">
        <w:rPr>
          <w:rFonts w:ascii="Times New Roman" w:eastAsia="Times New Roman" w:hAnsi="Times New Roman" w:cs="Times New Roman"/>
          <w:color w:val="808080"/>
          <w:sz w:val="24"/>
          <w:szCs w:val="24"/>
        </w:rPr>
        <w:t>Resistance levels: $146.15 (all-time highs)</w:t>
      </w:r>
    </w:p>
    <w:p w:rsidR="00793CEA" w:rsidRPr="00793CEA" w:rsidRDefault="00793CEA" w:rsidP="00793CEA">
      <w:pPr>
        <w:spacing w:after="0" w:line="240" w:lineRule="auto"/>
        <w:rPr>
          <w:rFonts w:ascii="Times New Roman" w:eastAsia="Times New Roman" w:hAnsi="Times New Roman" w:cs="Times New Roman"/>
          <w:sz w:val="24"/>
          <w:szCs w:val="24"/>
        </w:rPr>
      </w:pPr>
      <w:r w:rsidRPr="00793CEA">
        <w:rPr>
          <w:rFonts w:ascii="Times New Roman" w:eastAsia="Times New Roman" w:hAnsi="Times New Roman" w:cs="Times New Roman"/>
          <w:sz w:val="24"/>
          <w:szCs w:val="24"/>
        </w:rPr>
        <w:t xml:space="preserve">Video Analysis </w:t>
      </w:r>
    </w:p>
    <w:p w:rsidR="00793CEA" w:rsidRPr="00793CEA" w:rsidRDefault="00793CEA" w:rsidP="00793CEA">
      <w:pPr>
        <w:spacing w:after="0" w:line="240" w:lineRule="auto"/>
        <w:ind w:left="720"/>
        <w:rPr>
          <w:rFonts w:ascii="Times New Roman" w:eastAsia="Times New Roman" w:hAnsi="Times New Roman" w:cs="Times New Roman"/>
          <w:sz w:val="24"/>
          <w:szCs w:val="24"/>
        </w:rPr>
      </w:pPr>
      <w:hyperlink r:id="rId5" w:tgtFrame="_blank" w:history="1">
        <w:r w:rsidRPr="00793CEA">
          <w:rPr>
            <w:rFonts w:ascii="Times New Roman" w:eastAsia="Times New Roman" w:hAnsi="Times New Roman" w:cs="Times New Roman"/>
            <w:color w:val="0000FF"/>
            <w:sz w:val="24"/>
            <w:szCs w:val="24"/>
            <w:u w:val="single"/>
          </w:rPr>
          <w:t xml:space="preserve">Watch Video Analysis Here </w:t>
        </w:r>
      </w:hyperlink>
    </w:p>
    <w:p w:rsidR="00793CEA" w:rsidRPr="00793CEA" w:rsidRDefault="00793CEA" w:rsidP="00793CEA">
      <w:pPr>
        <w:spacing w:after="0" w:line="240" w:lineRule="auto"/>
        <w:rPr>
          <w:rFonts w:ascii="Times New Roman" w:eastAsia="Times New Roman" w:hAnsi="Times New Roman" w:cs="Times New Roman"/>
          <w:sz w:val="24"/>
          <w:szCs w:val="24"/>
        </w:rPr>
      </w:pPr>
      <w:r w:rsidRPr="00793CEA">
        <w:rPr>
          <w:rFonts w:ascii="Times New Roman" w:eastAsia="Times New Roman" w:hAnsi="Times New Roman" w:cs="Times New Roman"/>
          <w:sz w:val="24"/>
          <w:szCs w:val="24"/>
        </w:rPr>
        <w:t xml:space="preserve">Technical Discussion </w:t>
      </w:r>
    </w:p>
    <w:p w:rsidR="00793CEA" w:rsidRPr="00793CEA" w:rsidRDefault="00793CEA" w:rsidP="00793CEA">
      <w:pPr>
        <w:spacing w:before="100" w:beforeAutospacing="1" w:after="100" w:afterAutospacing="1" w:line="240" w:lineRule="auto"/>
        <w:ind w:left="720"/>
        <w:rPr>
          <w:rFonts w:ascii="Times New Roman" w:eastAsia="Times New Roman" w:hAnsi="Times New Roman" w:cs="Times New Roman"/>
          <w:sz w:val="24"/>
          <w:szCs w:val="24"/>
        </w:rPr>
      </w:pPr>
      <w:r w:rsidRPr="00793CEA">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Other </w:t>
      </w:r>
      <w:r w:rsidRPr="00793CEA">
        <w:rPr>
          <w:rFonts w:ascii="Times New Roman" w:eastAsia="Times New Roman" w:hAnsi="Times New Roman" w:cs="Times New Roman"/>
          <w:sz w:val="24"/>
          <w:szCs w:val="24"/>
        </w:rPr>
        <w:lastRenderedPageBreak/>
        <w:t>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year ending the 30th of June 2017 revenues increased 13% to $6.93B. Net income increased 8% to $1.34B. Revenues highlight the CSL Behring section increase of 11% to $5.84B, the Seqirus section increase of 19% to $785.5M, the United States section increase of 18% to $2.85B and other country increases of 9% to $1.99B. Analyst consensus is currently “Buy”. The dividend yield is 1.2%.</w:t>
      </w:r>
    </w:p>
    <w:p w:rsidR="00793CEA" w:rsidRPr="00793CEA" w:rsidRDefault="00793CEA" w:rsidP="00793CEA">
      <w:pPr>
        <w:spacing w:before="100" w:beforeAutospacing="1" w:after="100" w:afterAutospacing="1" w:line="240" w:lineRule="auto"/>
        <w:ind w:left="720"/>
        <w:rPr>
          <w:rFonts w:ascii="Times New Roman" w:eastAsia="Times New Roman" w:hAnsi="Times New Roman" w:cs="Times New Roman"/>
          <w:sz w:val="24"/>
          <w:szCs w:val="24"/>
        </w:rPr>
      </w:pPr>
      <w:r w:rsidRPr="00793CEA">
        <w:rPr>
          <w:rFonts w:ascii="Times New Roman" w:eastAsia="Times New Roman" w:hAnsi="Times New Roman" w:cs="Times New Roman"/>
          <w:sz w:val="24"/>
          <w:szCs w:val="24"/>
        </w:rPr>
        <w:t>Reasons to remain bullish (short term weakness feasible).</w:t>
      </w:r>
      <w:r w:rsidRPr="00793CEA">
        <w:rPr>
          <w:rFonts w:ascii="Times New Roman" w:eastAsia="Times New Roman" w:hAnsi="Times New Roman" w:cs="Times New Roman"/>
          <w:sz w:val="24"/>
          <w:szCs w:val="24"/>
        </w:rPr>
        <w:br/>
        <w:t>→ Volume growth expected for immunoglobulin/albumin.</w:t>
      </w:r>
      <w:r w:rsidRPr="00793CEA">
        <w:rPr>
          <w:rFonts w:ascii="Times New Roman" w:eastAsia="Times New Roman" w:hAnsi="Times New Roman" w:cs="Times New Roman"/>
          <w:sz w:val="24"/>
          <w:szCs w:val="24"/>
        </w:rPr>
        <w:br/>
        <w:t>→ Competitor weakness has been advantageous.</w:t>
      </w:r>
      <w:r w:rsidRPr="00793CEA">
        <w:rPr>
          <w:rFonts w:ascii="Times New Roman" w:eastAsia="Times New Roman" w:hAnsi="Times New Roman" w:cs="Times New Roman"/>
          <w:sz w:val="24"/>
          <w:szCs w:val="24"/>
        </w:rPr>
        <w:br/>
        <w:t>→ Exceptional earnings growth anticipated.</w:t>
      </w:r>
      <w:r w:rsidRPr="00793CEA">
        <w:rPr>
          <w:rFonts w:ascii="Times New Roman" w:eastAsia="Times New Roman" w:hAnsi="Times New Roman" w:cs="Times New Roman"/>
          <w:sz w:val="24"/>
          <w:szCs w:val="24"/>
        </w:rPr>
        <w:br/>
        <w:t>→ The recent launch of Haegarda could be a potential catalyst for the company.</w:t>
      </w:r>
      <w:r w:rsidRPr="00793CEA">
        <w:rPr>
          <w:rFonts w:ascii="Times New Roman" w:eastAsia="Times New Roman" w:hAnsi="Times New Roman" w:cs="Times New Roman"/>
          <w:sz w:val="24"/>
          <w:szCs w:val="24"/>
        </w:rPr>
        <w:br/>
        <w:t>→ Acquiring 80% of a Chinese plasma fractionator which should provide a foothold into China.</w:t>
      </w:r>
      <w:r w:rsidRPr="00793CEA">
        <w:rPr>
          <w:rFonts w:ascii="Times New Roman" w:eastAsia="Times New Roman" w:hAnsi="Times New Roman" w:cs="Times New Roman"/>
          <w:sz w:val="24"/>
          <w:szCs w:val="24"/>
        </w:rPr>
        <w:br/>
        <w:t>→ Benefiting from the plasma supply bottlenecks as CSL can increase supply.</w:t>
      </w:r>
      <w:r w:rsidRPr="00793CEA">
        <w:rPr>
          <w:rFonts w:ascii="Times New Roman" w:eastAsia="Times New Roman" w:hAnsi="Times New Roman" w:cs="Times New Roman"/>
          <w:sz w:val="24"/>
          <w:szCs w:val="24"/>
        </w:rPr>
        <w:br/>
        <w:t>→ New product launches add to near-term growth prospects.</w:t>
      </w:r>
      <w:r w:rsidRPr="00793CEA">
        <w:rPr>
          <w:rFonts w:ascii="Times New Roman" w:eastAsia="Times New Roman" w:hAnsi="Times New Roman" w:cs="Times New Roman"/>
          <w:sz w:val="24"/>
          <w:szCs w:val="24"/>
        </w:rPr>
        <w:br/>
        <w:t>→ Ongoing acquisitions offer strong gains in synergy.</w:t>
      </w:r>
    </w:p>
    <w:p w:rsidR="00793CEA" w:rsidRPr="00793CEA" w:rsidRDefault="00793CEA" w:rsidP="00793CEA">
      <w:pPr>
        <w:spacing w:before="100" w:beforeAutospacing="1" w:after="100" w:afterAutospacing="1" w:line="240" w:lineRule="auto"/>
        <w:ind w:left="720"/>
        <w:rPr>
          <w:rFonts w:ascii="Times New Roman" w:eastAsia="Times New Roman" w:hAnsi="Times New Roman" w:cs="Times New Roman"/>
          <w:sz w:val="24"/>
          <w:szCs w:val="24"/>
        </w:rPr>
      </w:pPr>
      <w:r w:rsidRPr="00793CEA">
        <w:rPr>
          <w:rFonts w:ascii="Times New Roman" w:eastAsia="Times New Roman" w:hAnsi="Times New Roman" w:cs="Times New Roman"/>
          <w:sz w:val="24"/>
          <w:szCs w:val="24"/>
        </w:rPr>
        <w:t xml:space="preserve">The trend here in CSL is more indicative of a stock in the US as opposed to here in Australia. A stronger trend would be difficult to find with price now gaining 459% off the September 2011 low which is about as good as it gets for a heavyweight. A few weeks ago, we were calling for a deeper retracement although as we noted during the last review, continued buying pressure suggested a low was already locked in. Higher prices have been made over the past few weeks resulting in the all-time high made in June this year being overcome by a small margin. The patterns were lacking clarity from an Elliott Wave point of view last time and this trait has continued. The impulsive movement down to the zone of support has been followed by the same to the upside which again emphasises the lack of clarity within the patterns. However, Elliott isn’t the be all and end </w:t>
      </w:r>
      <w:proofErr w:type="gramStart"/>
      <w:r w:rsidRPr="00793CEA">
        <w:rPr>
          <w:rFonts w:ascii="Times New Roman" w:eastAsia="Times New Roman" w:hAnsi="Times New Roman" w:cs="Times New Roman"/>
          <w:sz w:val="24"/>
          <w:szCs w:val="24"/>
        </w:rPr>
        <w:t>all of</w:t>
      </w:r>
      <w:proofErr w:type="gramEnd"/>
      <w:r w:rsidRPr="00793CEA">
        <w:rPr>
          <w:rFonts w:ascii="Times New Roman" w:eastAsia="Times New Roman" w:hAnsi="Times New Roman" w:cs="Times New Roman"/>
          <w:sz w:val="24"/>
          <w:szCs w:val="24"/>
        </w:rPr>
        <w:t xml:space="preserve"> technical analysis and we can quite easily concentrate on more conventional patterns. As such, we’ve removed the wave count and we’ll concentrate on a potential Cup &amp; Handle pattern which is something that’s been cropping up on quite a few charts over the past few months. These are strong continuation patterns and in this instance, offers plenty of upside. </w:t>
      </w:r>
      <w:proofErr w:type="gramStart"/>
      <w:r w:rsidRPr="00793CEA">
        <w:rPr>
          <w:rFonts w:ascii="Times New Roman" w:eastAsia="Times New Roman" w:hAnsi="Times New Roman" w:cs="Times New Roman"/>
          <w:sz w:val="24"/>
          <w:szCs w:val="24"/>
        </w:rPr>
        <w:t>Ideally</w:t>
      </w:r>
      <w:proofErr w:type="gramEnd"/>
      <w:r w:rsidRPr="00793CEA">
        <w:rPr>
          <w:rFonts w:ascii="Times New Roman" w:eastAsia="Times New Roman" w:hAnsi="Times New Roman" w:cs="Times New Roman"/>
          <w:sz w:val="24"/>
          <w:szCs w:val="24"/>
        </w:rPr>
        <w:t xml:space="preserve"> we’d like the handle to form for a while longer although it’s not a prerequisite to higher prices. One thing is for sure, a comprehensive break up through $146.15 in a move that sticks means the strong prior uptrend is likely back in motion. One thing we need to be aware of is that an immediate push up through that </w:t>
      </w:r>
      <w:proofErr w:type="gramStart"/>
      <w:r w:rsidRPr="00793CEA">
        <w:rPr>
          <w:rFonts w:ascii="Times New Roman" w:eastAsia="Times New Roman" w:hAnsi="Times New Roman" w:cs="Times New Roman"/>
          <w:sz w:val="24"/>
          <w:szCs w:val="24"/>
        </w:rPr>
        <w:t>aforementioned level</w:t>
      </w:r>
      <w:proofErr w:type="gramEnd"/>
      <w:r w:rsidRPr="00793CEA">
        <w:rPr>
          <w:rFonts w:ascii="Times New Roman" w:eastAsia="Times New Roman" w:hAnsi="Times New Roman" w:cs="Times New Roman"/>
          <w:sz w:val="24"/>
          <w:szCs w:val="24"/>
        </w:rPr>
        <w:t xml:space="preserve"> could present some bearish divergence on this daily chart. In other words, over the short-term there could be an attempted break out which fails initially. Just something to be aware of although it wouldn’t take away from the bullish case over the medium to longer term.</w:t>
      </w:r>
    </w:p>
    <w:p w:rsidR="00793CEA" w:rsidRPr="00793CEA" w:rsidRDefault="00793CEA" w:rsidP="00793CEA">
      <w:pPr>
        <w:spacing w:after="0" w:line="240" w:lineRule="auto"/>
        <w:rPr>
          <w:rFonts w:ascii="Times New Roman" w:eastAsia="Times New Roman" w:hAnsi="Times New Roman" w:cs="Times New Roman"/>
          <w:sz w:val="24"/>
          <w:szCs w:val="24"/>
        </w:rPr>
      </w:pPr>
      <w:r w:rsidRPr="00793CEA">
        <w:rPr>
          <w:rFonts w:ascii="Times New Roman" w:eastAsia="Times New Roman" w:hAnsi="Times New Roman" w:cs="Times New Roman"/>
          <w:sz w:val="24"/>
          <w:szCs w:val="24"/>
        </w:rPr>
        <w:t xml:space="preserve">Trading Strategy </w:t>
      </w:r>
    </w:p>
    <w:p w:rsidR="00793CEA" w:rsidRPr="00793CEA" w:rsidRDefault="00793CEA" w:rsidP="00793CEA">
      <w:pPr>
        <w:spacing w:after="0" w:line="240" w:lineRule="auto"/>
        <w:ind w:left="720"/>
        <w:rPr>
          <w:rFonts w:ascii="Times New Roman" w:eastAsia="Times New Roman" w:hAnsi="Times New Roman" w:cs="Times New Roman"/>
          <w:sz w:val="24"/>
          <w:szCs w:val="24"/>
        </w:rPr>
      </w:pPr>
      <w:r w:rsidRPr="00793CEA">
        <w:rPr>
          <w:rFonts w:ascii="Times New Roman" w:eastAsia="Times New Roman" w:hAnsi="Times New Roman" w:cs="Times New Roman"/>
          <w:sz w:val="24"/>
          <w:szCs w:val="24"/>
        </w:rPr>
        <w:lastRenderedPageBreak/>
        <w:t xml:space="preserve">Without wanting to sound like a broken record, the potential divergence here means we can’t make a formal recommendation. However, if you like the company and want to be involved then jump on following a push above the recent pivot high at $146.15 with the initial stop placed just beneath the prior pivot low at $138.00 which provides a low risk entry. The measured move out of the Cup &amp; handle offers a rotation up above $170.00 which offers an excellent risk/reward trade. If the divergence fails to </w:t>
      </w:r>
      <w:proofErr w:type="gramStart"/>
      <w:r w:rsidRPr="00793CEA">
        <w:rPr>
          <w:rFonts w:ascii="Times New Roman" w:eastAsia="Times New Roman" w:hAnsi="Times New Roman" w:cs="Times New Roman"/>
          <w:sz w:val="24"/>
          <w:szCs w:val="24"/>
        </w:rPr>
        <w:t>trigger</w:t>
      </w:r>
      <w:proofErr w:type="gramEnd"/>
      <w:r w:rsidRPr="00793CEA">
        <w:rPr>
          <w:rFonts w:ascii="Times New Roman" w:eastAsia="Times New Roman" w:hAnsi="Times New Roman" w:cs="Times New Roman"/>
          <w:sz w:val="24"/>
          <w:szCs w:val="24"/>
        </w:rPr>
        <w:t xml:space="preserve"> we’ll looking to put forward a recommendation shortly.</w:t>
      </w:r>
    </w:p>
    <w:p w:rsidR="00793CEA" w:rsidRDefault="00793CEA">
      <w:bookmarkStart w:id="0" w:name="_GoBack"/>
      <w:bookmarkEnd w:id="0"/>
    </w:p>
    <w:sectPr w:rsidR="00793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8E4375-F0F1-456E-B155-F0210CC8D481}"/>
    <w:docVar w:name="dgnword-eventsink" w:val="666238840"/>
  </w:docVars>
  <w:rsids>
    <w:rsidRoot w:val="00793CEA"/>
    <w:rsid w:val="00112E1F"/>
    <w:rsid w:val="001A14F1"/>
    <w:rsid w:val="00235438"/>
    <w:rsid w:val="003B7908"/>
    <w:rsid w:val="004E3CB9"/>
    <w:rsid w:val="0066290A"/>
    <w:rsid w:val="00674864"/>
    <w:rsid w:val="006B1B3E"/>
    <w:rsid w:val="006D6A2C"/>
    <w:rsid w:val="007200FD"/>
    <w:rsid w:val="00793CEA"/>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599A"/>
  <w15:chartTrackingRefBased/>
  <w15:docId w15:val="{359280CF-0A36-4592-A76B-098D6CCE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046114">
      <w:bodyDiv w:val="1"/>
      <w:marLeft w:val="0"/>
      <w:marRight w:val="0"/>
      <w:marTop w:val="0"/>
      <w:marBottom w:val="0"/>
      <w:divBdr>
        <w:top w:val="none" w:sz="0" w:space="0" w:color="auto"/>
        <w:left w:val="none" w:sz="0" w:space="0" w:color="auto"/>
        <w:bottom w:val="none" w:sz="0" w:space="0" w:color="auto"/>
        <w:right w:val="none" w:sz="0" w:space="0" w:color="auto"/>
      </w:divBdr>
      <w:divsChild>
        <w:div w:id="1285187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cvLl7X8r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2017-12-29T03:39:00Z</dcterms:created>
  <dcterms:modified xsi:type="dcterms:W3CDTF">2017-12-29T03:40:00Z</dcterms:modified>
</cp:coreProperties>
</file>