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A78B8" w14:textId="5A21E2AC" w:rsidR="0003701C" w:rsidRDefault="0003701C">
      <w:r>
        <w:rPr>
          <w:noProof/>
        </w:rPr>
        <w:drawing>
          <wp:inline distT="0" distB="0" distL="0" distR="0" wp14:anchorId="5D704690" wp14:editId="73172636">
            <wp:extent cx="5943600" cy="4930987"/>
            <wp:effectExtent l="0" t="0" r="0" b="3175"/>
            <wp:docPr id="4" name="Picture 4" descr="Q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3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1C077" w14:textId="6019CDB7" w:rsidR="0003701C" w:rsidRDefault="0003701C"/>
    <w:p w14:paraId="14FB1DE8" w14:textId="77777777" w:rsidR="0003701C" w:rsidRPr="0003701C" w:rsidRDefault="0003701C" w:rsidP="0003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01C">
        <w:rPr>
          <w:rFonts w:ascii="Times New Roman" w:eastAsia="Times New Roman" w:hAnsi="Times New Roman" w:cs="Times New Roman"/>
          <w:sz w:val="24"/>
          <w:szCs w:val="24"/>
        </w:rPr>
        <w:t xml:space="preserve">Bottom Line </w:t>
      </w:r>
    </w:p>
    <w:p w14:paraId="00B71A89" w14:textId="77777777" w:rsidR="0003701C" w:rsidRPr="0003701C" w:rsidRDefault="0003701C" w:rsidP="000370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3701C">
        <w:rPr>
          <w:rFonts w:ascii="Times New Roman" w:eastAsia="Times New Roman" w:hAnsi="Times New Roman" w:cs="Times New Roman"/>
          <w:sz w:val="24"/>
          <w:szCs w:val="24"/>
        </w:rPr>
        <w:t>30/10:</w:t>
      </w:r>
      <w:r w:rsidRPr="0003701C">
        <w:rPr>
          <w:rFonts w:ascii="Times New Roman" w:eastAsia="Times New Roman" w:hAnsi="Times New Roman" w:cs="Times New Roman"/>
          <w:sz w:val="24"/>
          <w:szCs w:val="24"/>
        </w:rPr>
        <w:br/>
        <w:t xml:space="preserve">Daily Trend: </w:t>
      </w:r>
      <w:r w:rsidRPr="0003701C">
        <w:rPr>
          <w:rFonts w:ascii="Times New Roman" w:eastAsia="Times New Roman" w:hAnsi="Times New Roman" w:cs="Times New Roman"/>
          <w:color w:val="FF0000"/>
          <w:sz w:val="24"/>
          <w:szCs w:val="24"/>
        </w:rPr>
        <w:t>Down</w:t>
      </w:r>
      <w:r w:rsidRPr="0003701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3701C">
        <w:rPr>
          <w:rFonts w:ascii="Times New Roman" w:eastAsia="Times New Roman" w:hAnsi="Times New Roman" w:cs="Times New Roman"/>
          <w:sz w:val="24"/>
          <w:szCs w:val="24"/>
        </w:rPr>
        <w:t>WeeklyTrend</w:t>
      </w:r>
      <w:proofErr w:type="spellEnd"/>
      <w:r w:rsidRPr="000370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3701C">
        <w:rPr>
          <w:rFonts w:ascii="Times New Roman" w:eastAsia="Times New Roman" w:hAnsi="Times New Roman" w:cs="Times New Roman"/>
          <w:color w:val="FF0000"/>
          <w:sz w:val="24"/>
          <w:szCs w:val="24"/>
        </w:rPr>
        <w:t>Down</w:t>
      </w:r>
      <w:r w:rsidRPr="0003701C">
        <w:rPr>
          <w:rFonts w:ascii="Times New Roman" w:eastAsia="Times New Roman" w:hAnsi="Times New Roman" w:cs="Times New Roman"/>
          <w:sz w:val="24"/>
          <w:szCs w:val="24"/>
        </w:rPr>
        <w:br/>
        <w:t xml:space="preserve">Monthly Trend: </w:t>
      </w:r>
      <w:r w:rsidRPr="0003701C">
        <w:rPr>
          <w:rFonts w:ascii="Times New Roman" w:eastAsia="Times New Roman" w:hAnsi="Times New Roman" w:cs="Times New Roman"/>
          <w:color w:val="FF0000"/>
          <w:sz w:val="24"/>
          <w:szCs w:val="24"/>
        </w:rPr>
        <w:t>Down</w:t>
      </w:r>
      <w:r w:rsidRPr="0003701C">
        <w:rPr>
          <w:rFonts w:ascii="Times New Roman" w:eastAsia="Times New Roman" w:hAnsi="Times New Roman" w:cs="Times New Roman"/>
          <w:sz w:val="24"/>
          <w:szCs w:val="24"/>
        </w:rPr>
        <w:br/>
        <w:t xml:space="preserve">Support levels: $4.77 - $4.55 </w:t>
      </w:r>
      <w:r w:rsidRPr="0003701C">
        <w:rPr>
          <w:rFonts w:ascii="Times New Roman" w:eastAsia="Times New Roman" w:hAnsi="Times New Roman" w:cs="Times New Roman"/>
          <w:sz w:val="24"/>
          <w:szCs w:val="24"/>
        </w:rPr>
        <w:br/>
        <w:t>Resistance levels: $6.92</w:t>
      </w:r>
    </w:p>
    <w:p w14:paraId="0B81B7AA" w14:textId="77777777" w:rsidR="0003701C" w:rsidRPr="0003701C" w:rsidRDefault="0003701C" w:rsidP="0003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01C">
        <w:rPr>
          <w:rFonts w:ascii="Times New Roman" w:eastAsia="Times New Roman" w:hAnsi="Times New Roman" w:cs="Times New Roman"/>
          <w:sz w:val="24"/>
          <w:szCs w:val="24"/>
        </w:rPr>
        <w:t xml:space="preserve">Video Analysis </w:t>
      </w:r>
    </w:p>
    <w:p w14:paraId="0A6FA996" w14:textId="77777777" w:rsidR="0003701C" w:rsidRPr="0003701C" w:rsidRDefault="0003701C" w:rsidP="0003701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0370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Watch Video Analysis Here </w:t>
        </w:r>
      </w:hyperlink>
    </w:p>
    <w:p w14:paraId="78C9A0A4" w14:textId="77777777" w:rsidR="0003701C" w:rsidRPr="0003701C" w:rsidRDefault="0003701C" w:rsidP="0003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01C">
        <w:rPr>
          <w:rFonts w:ascii="Times New Roman" w:eastAsia="Times New Roman" w:hAnsi="Times New Roman" w:cs="Times New Roman"/>
          <w:sz w:val="24"/>
          <w:szCs w:val="24"/>
        </w:rPr>
        <w:t xml:space="preserve">Technical Discussion </w:t>
      </w:r>
    </w:p>
    <w:p w14:paraId="6A249E29" w14:textId="77777777" w:rsidR="0003701C" w:rsidRPr="0003701C" w:rsidRDefault="0003701C" w:rsidP="000370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3701C">
        <w:rPr>
          <w:rFonts w:ascii="Times New Roman" w:eastAsia="Times New Roman" w:hAnsi="Times New Roman" w:cs="Times New Roman"/>
          <w:sz w:val="24"/>
          <w:szCs w:val="24"/>
        </w:rPr>
        <w:t xml:space="preserve">Qantas Airways is involved in the operation of international and domestic air transportation services, the provision of freight services and the operation of a Frequent Flyer loyalty program. The Company’s main business is the transportation of customers </w:t>
      </w:r>
      <w:r w:rsidRPr="0003701C">
        <w:rPr>
          <w:rFonts w:ascii="Times New Roman" w:eastAsia="Times New Roman" w:hAnsi="Times New Roman" w:cs="Times New Roman"/>
          <w:sz w:val="24"/>
          <w:szCs w:val="24"/>
        </w:rPr>
        <w:lastRenderedPageBreak/>
        <w:t>using two complementary airline brands which are Qantas and Jetstar. It also controls subsidiary businesses including other airlines and businesses in specialist markets, such as Q Catering. The Company operates in four sections; Qantas Domestic, Qantas International, Qantas Loyalty and Qantas Freight. For the year ending the 30th of June 2018 revenues increased 6% to A$17.06B. Net income increased 15% to A$980M. Revenues highlight the Qantas International section increase of 28% to A$6.52B and the Australia section increase of 6% to A$11.19B. Broker consensus is “Buy”. The dividend yield is 2.6%.</w:t>
      </w:r>
    </w:p>
    <w:p w14:paraId="19D486C1" w14:textId="77777777" w:rsidR="0003701C" w:rsidRPr="0003701C" w:rsidRDefault="0003701C" w:rsidP="000370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3701C">
        <w:rPr>
          <w:rFonts w:ascii="Times New Roman" w:eastAsia="Times New Roman" w:hAnsi="Times New Roman" w:cs="Times New Roman"/>
          <w:sz w:val="24"/>
          <w:szCs w:val="24"/>
        </w:rPr>
        <w:t>Reasons to be cautious:</w:t>
      </w:r>
      <w:r w:rsidRPr="0003701C">
        <w:rPr>
          <w:rFonts w:ascii="Times New Roman" w:eastAsia="Times New Roman" w:hAnsi="Times New Roman" w:cs="Times New Roman"/>
          <w:sz w:val="24"/>
          <w:szCs w:val="24"/>
        </w:rPr>
        <w:br/>
        <w:t xml:space="preserve">→ Impulsive price action lower commenced. </w:t>
      </w:r>
      <w:r w:rsidRPr="0003701C">
        <w:rPr>
          <w:rFonts w:ascii="Times New Roman" w:eastAsia="Times New Roman" w:hAnsi="Times New Roman" w:cs="Times New Roman"/>
          <w:sz w:val="24"/>
          <w:szCs w:val="24"/>
        </w:rPr>
        <w:br/>
        <w:t>→ Trading conditions deteriorating.</w:t>
      </w:r>
      <w:r w:rsidRPr="0003701C">
        <w:rPr>
          <w:rFonts w:ascii="Times New Roman" w:eastAsia="Times New Roman" w:hAnsi="Times New Roman" w:cs="Times New Roman"/>
          <w:sz w:val="24"/>
          <w:szCs w:val="24"/>
        </w:rPr>
        <w:br/>
        <w:t>→ High free cash flow should continue on the back of a favourable domestic market position and the repositioning of the international business.</w:t>
      </w:r>
      <w:r w:rsidRPr="0003701C">
        <w:rPr>
          <w:rFonts w:ascii="Times New Roman" w:eastAsia="Times New Roman" w:hAnsi="Times New Roman" w:cs="Times New Roman"/>
          <w:sz w:val="24"/>
          <w:szCs w:val="24"/>
        </w:rPr>
        <w:br/>
        <w:t>→ A $332m buyback is forecast for the second half with the potential for more at the → FY19 results.</w:t>
      </w:r>
      <w:r w:rsidRPr="0003701C">
        <w:rPr>
          <w:rFonts w:ascii="Times New Roman" w:eastAsia="Times New Roman" w:hAnsi="Times New Roman" w:cs="Times New Roman"/>
          <w:sz w:val="24"/>
          <w:szCs w:val="24"/>
        </w:rPr>
        <w:br/>
        <w:t>→ Trading at a discount to its peers.</w:t>
      </w:r>
      <w:r w:rsidRPr="0003701C">
        <w:rPr>
          <w:rFonts w:ascii="Times New Roman" w:eastAsia="Times New Roman" w:hAnsi="Times New Roman" w:cs="Times New Roman"/>
          <w:sz w:val="24"/>
          <w:szCs w:val="24"/>
        </w:rPr>
        <w:br/>
        <w:t>→ Transformation benefits could offset non-fuel cost inflation.</w:t>
      </w:r>
      <w:r w:rsidRPr="0003701C">
        <w:rPr>
          <w:rFonts w:ascii="Times New Roman" w:eastAsia="Times New Roman" w:hAnsi="Times New Roman" w:cs="Times New Roman"/>
          <w:sz w:val="24"/>
          <w:szCs w:val="24"/>
        </w:rPr>
        <w:br/>
        <w:t>→ Discipline in the domestic market should result in higher margins and offset high fuel costs and international competition.</w:t>
      </w:r>
      <w:r w:rsidRPr="0003701C">
        <w:rPr>
          <w:rFonts w:ascii="Times New Roman" w:eastAsia="Times New Roman" w:hAnsi="Times New Roman" w:cs="Times New Roman"/>
          <w:sz w:val="24"/>
          <w:szCs w:val="24"/>
        </w:rPr>
        <w:br/>
        <w:t>→ Applying to extend its partnership with Emirates for another five years which is critical to profitability.</w:t>
      </w:r>
      <w:r w:rsidRPr="0003701C">
        <w:rPr>
          <w:rFonts w:ascii="Times New Roman" w:eastAsia="Times New Roman" w:hAnsi="Times New Roman" w:cs="Times New Roman"/>
          <w:sz w:val="24"/>
          <w:szCs w:val="24"/>
        </w:rPr>
        <w:br/>
        <w:t>→ Lower fuel costs improve profitability.</w:t>
      </w:r>
      <w:r w:rsidRPr="0003701C">
        <w:rPr>
          <w:rFonts w:ascii="Times New Roman" w:eastAsia="Times New Roman" w:hAnsi="Times New Roman" w:cs="Times New Roman"/>
          <w:sz w:val="24"/>
          <w:szCs w:val="24"/>
        </w:rPr>
        <w:br/>
        <w:t>→ Cost cutting measures are continuing.</w:t>
      </w:r>
    </w:p>
    <w:p w14:paraId="09425742" w14:textId="77777777" w:rsidR="0003701C" w:rsidRPr="0003701C" w:rsidRDefault="0003701C" w:rsidP="000370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3701C">
        <w:rPr>
          <w:rFonts w:ascii="Times New Roman" w:eastAsia="Times New Roman" w:hAnsi="Times New Roman" w:cs="Times New Roman"/>
          <w:sz w:val="24"/>
          <w:szCs w:val="24"/>
        </w:rPr>
        <w:t>Price was approaching our target area either side of $5.60 during our last review meaning buyers needed to appear quickly to keep the strong uptrend in motion. Not to be, with our target zone being overcome in a straight-line movement which is something that’s been transpiring on many charts for several weeks now. With the smaller degree patterns deteriorating and lacking clarity we are going to take a big step back and concentrate on the weekly chart. It is feasible that a completed 5-wave move has terminated which commenced all the way back in late 2013. It’s been a stellar ride higher although as always, every trend needs to see a decent pause or correction which ideally is what’s transpiring now. Unless QAN can get up through the pivot high at $6.92 the risk is that price is going to eventually travel down to the 50% - 61.8% retracement zone as annotated sitting between $3.93 - $3.24 which is obviously a substantial percentage fall from current levels. It is early days although that lower target area certainly isn’t off the table. It’s not going to be a straight-line movement down despite the potency of leg South over the past few weeks. Like many companies, it is looking oversold over the short-term meaning a bounce wouldn’t go amiss. Adding weight to the case for a rally is bullish divergence on the daily chart (not shown) with price making a lower low whilst our oscillator has failed to confirm that weakness by making a higher low. It’s yet to trigger, although if it does then a bounce will almost certainly unfold although at this stage that’s all we’ll be looking for - a rally only.</w:t>
      </w:r>
    </w:p>
    <w:p w14:paraId="511A3AD8" w14:textId="77777777" w:rsidR="0003701C" w:rsidRPr="0003701C" w:rsidRDefault="0003701C" w:rsidP="0003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01C">
        <w:rPr>
          <w:rFonts w:ascii="Times New Roman" w:eastAsia="Times New Roman" w:hAnsi="Times New Roman" w:cs="Times New Roman"/>
          <w:sz w:val="24"/>
          <w:szCs w:val="24"/>
        </w:rPr>
        <w:t xml:space="preserve">Trading Strategy </w:t>
      </w:r>
    </w:p>
    <w:p w14:paraId="76504F53" w14:textId="77777777" w:rsidR="0003701C" w:rsidRPr="0003701C" w:rsidRDefault="0003701C" w:rsidP="0003701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370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It’s a similar situation in many stocks we cover in that we need to see a bounce before looking for short set-ups. As stated in Friday’s review of the XJO, the patterns were advocating a rally and thus far it appears to be unfolding despite it being early days. </w:t>
      </w:r>
      <w:proofErr w:type="gramStart"/>
      <w:r w:rsidRPr="0003701C">
        <w:rPr>
          <w:rFonts w:ascii="Times New Roman" w:eastAsia="Times New Roman" w:hAnsi="Times New Roman" w:cs="Times New Roman"/>
          <w:sz w:val="24"/>
          <w:szCs w:val="24"/>
        </w:rPr>
        <w:t>As long as</w:t>
      </w:r>
      <w:proofErr w:type="gramEnd"/>
      <w:r w:rsidRPr="0003701C">
        <w:rPr>
          <w:rFonts w:ascii="Times New Roman" w:eastAsia="Times New Roman" w:hAnsi="Times New Roman" w:cs="Times New Roman"/>
          <w:sz w:val="24"/>
          <w:szCs w:val="24"/>
        </w:rPr>
        <w:t xml:space="preserve"> rallies are choppy and messy in nature suggesting they are corrective then opportunities will arise. If the wave count is correct there is plenty of downside to come, albeit following a bounce over the coming weeks.</w:t>
      </w:r>
    </w:p>
    <w:p w14:paraId="58F5D62C" w14:textId="77777777" w:rsidR="0003701C" w:rsidRDefault="0003701C">
      <w:bookmarkStart w:id="0" w:name="_GoBack"/>
      <w:bookmarkEnd w:id="0"/>
    </w:p>
    <w:sectPr w:rsidR="00037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AC0474E-3072-4325-9B0E-08DDF4920B33}"/>
    <w:docVar w:name="dgnword-eventsink" w:val="753905280"/>
  </w:docVars>
  <w:rsids>
    <w:rsidRoot w:val="0003701C"/>
    <w:rsid w:val="0003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0D857"/>
  <w15:chartTrackingRefBased/>
  <w15:docId w15:val="{1461C1E4-4054-487B-BCF2-6961EC88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reencast.com/t/NRdPKRtc9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Hammersley</dc:creator>
  <cp:keywords/>
  <dc:description/>
  <cp:lastModifiedBy>Lorraine Hammersley</cp:lastModifiedBy>
  <cp:revision>1</cp:revision>
  <dcterms:created xsi:type="dcterms:W3CDTF">2018-11-28T03:02:00Z</dcterms:created>
  <dcterms:modified xsi:type="dcterms:W3CDTF">2018-11-28T03:03:00Z</dcterms:modified>
</cp:coreProperties>
</file>